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1868D" w14:textId="77777777" w:rsidR="00424962" w:rsidRDefault="00092F80">
      <w:pPr>
        <w:jc w:val="center"/>
        <w:rPr>
          <w:b/>
          <w:sz w:val="28"/>
          <w:szCs w:val="28"/>
          <w:lang w:val="en-GB"/>
        </w:rPr>
      </w:pPr>
      <w:r>
        <w:rPr>
          <w:b/>
          <w:sz w:val="28"/>
          <w:szCs w:val="28"/>
          <w:lang w:val="en-GB"/>
        </w:rPr>
        <w:t>Additional information about the Contract Notice</w:t>
      </w:r>
    </w:p>
    <w:p w14:paraId="09AE51A7" w14:textId="77777777" w:rsidR="00424962" w:rsidRDefault="00424962">
      <w:pPr>
        <w:spacing w:before="0" w:after="0"/>
        <w:rPr>
          <w:rStyle w:val="Strong"/>
          <w:rFonts w:ascii="Arial" w:hAnsi="Arial"/>
          <w:b w:val="0"/>
          <w:sz w:val="28"/>
          <w:szCs w:val="28"/>
          <w:highlight w:val="yellow"/>
          <w:lang w:val="en-GB"/>
        </w:rPr>
      </w:pPr>
    </w:p>
    <w:p w14:paraId="13D7FEE2" w14:textId="14F5E12A" w:rsidR="00DD4E5C" w:rsidRDefault="00092F80" w:rsidP="00DD4E5C">
      <w:pPr>
        <w:spacing w:after="240"/>
        <w:rPr>
          <w:b/>
          <w:bCs/>
          <w:sz w:val="22"/>
          <w:szCs w:val="22"/>
          <w:lang w:val="de-DE"/>
        </w:rPr>
      </w:pPr>
      <w:r w:rsidRPr="00232904">
        <w:rPr>
          <w:rStyle w:val="Strong"/>
          <w:sz w:val="28"/>
          <w:szCs w:val="28"/>
          <w:lang w:val="en-GB"/>
        </w:rPr>
        <w:t>Contract title</w:t>
      </w:r>
      <w:r>
        <w:rPr>
          <w:rStyle w:val="Strong"/>
          <w:sz w:val="28"/>
          <w:szCs w:val="28"/>
          <w:lang w:val="en-GB"/>
        </w:rPr>
        <w:t>:</w:t>
      </w:r>
      <w:r w:rsidR="00DD4E5C">
        <w:rPr>
          <w:b/>
          <w:sz w:val="22"/>
          <w:szCs w:val="22"/>
        </w:rPr>
        <w:t xml:space="preserve">” </w:t>
      </w:r>
      <w:r w:rsidR="00DD4E5C" w:rsidRPr="000420FE">
        <w:rPr>
          <w:b/>
          <w:bCs/>
          <w:sz w:val="22"/>
          <w:szCs w:val="22"/>
          <w:lang w:val="de-DE"/>
        </w:rPr>
        <w:t>Establishment of the touristic and educational centre Temsko</w:t>
      </w:r>
      <w:r w:rsidR="00DD4E5C">
        <w:rPr>
          <w:b/>
          <w:bCs/>
          <w:sz w:val="22"/>
          <w:szCs w:val="22"/>
          <w:lang w:val="de-DE"/>
        </w:rPr>
        <w:t>“</w:t>
      </w:r>
    </w:p>
    <w:p w14:paraId="7F7F2125" w14:textId="2BE5A005" w:rsidR="00424962" w:rsidRDefault="00092F80">
      <w:pPr>
        <w:spacing w:after="240"/>
        <w:jc w:val="center"/>
        <w:rPr>
          <w:rStyle w:val="Strong"/>
          <w:sz w:val="28"/>
          <w:szCs w:val="28"/>
          <w:lang w:val="en-GB"/>
        </w:rPr>
      </w:pPr>
      <w:r>
        <w:rPr>
          <w:rStyle w:val="Strong"/>
          <w:sz w:val="28"/>
          <w:szCs w:val="28"/>
          <w:lang w:val="en-GB"/>
        </w:rPr>
        <w:br/>
        <w:t>Pirot, Pirot</w:t>
      </w:r>
      <w:r>
        <w:rPr>
          <w:rStyle w:val="Strong"/>
          <w:sz w:val="28"/>
          <w:szCs w:val="28"/>
        </w:rPr>
        <w:t>`</w:t>
      </w:r>
      <w:r w:rsidR="00DD4E5C">
        <w:rPr>
          <w:rStyle w:val="Strong"/>
          <w:sz w:val="28"/>
          <w:szCs w:val="28"/>
        </w:rPr>
        <w:t>region</w:t>
      </w:r>
      <w:r>
        <w:rPr>
          <w:rStyle w:val="Strong"/>
          <w:sz w:val="28"/>
          <w:szCs w:val="28"/>
          <w:lang w:val="en-GB"/>
        </w:rPr>
        <w:t>, Serbia</w:t>
      </w:r>
    </w:p>
    <w:p w14:paraId="58C7EAAE" w14:textId="3963E5F3" w:rsidR="00011A8E" w:rsidRDefault="00011A8E" w:rsidP="00011A8E">
      <w:pPr>
        <w:tabs>
          <w:tab w:val="left" w:pos="375"/>
        </w:tabs>
        <w:spacing w:after="240"/>
        <w:rPr>
          <w:sz w:val="28"/>
          <w:szCs w:val="28"/>
          <w:lang w:val="en-GB"/>
        </w:rPr>
      </w:pPr>
    </w:p>
    <w:p w14:paraId="4B279275" w14:textId="77777777" w:rsidR="00424962" w:rsidRDefault="00092F80">
      <w:pPr>
        <w:pStyle w:val="PRAGHeading2"/>
        <w:keepNext/>
        <w:spacing w:before="240" w:after="120" w:line="240" w:lineRule="atLeast"/>
        <w:ind w:left="425" w:hanging="425"/>
        <w:rPr>
          <w:lang w:val="en-GB"/>
        </w:rPr>
      </w:pPr>
      <w:r>
        <w:rPr>
          <w:rStyle w:val="Strong"/>
          <w:sz w:val="22"/>
          <w:szCs w:val="22"/>
          <w:lang w:val="en-GB"/>
        </w:rPr>
        <w:t>Nature of contract</w:t>
      </w:r>
    </w:p>
    <w:p w14:paraId="482A82D2" w14:textId="4DBD7B0F" w:rsidR="00424962" w:rsidRDefault="00DD4E5C">
      <w:pPr>
        <w:spacing w:before="0" w:after="120" w:line="240" w:lineRule="atLeast"/>
        <w:ind w:firstLine="360"/>
        <w:rPr>
          <w:rStyle w:val="Strong"/>
          <w:b w:val="0"/>
          <w:color w:val="1F497D"/>
        </w:rPr>
      </w:pPr>
      <w:r>
        <w:rPr>
          <w:rStyle w:val="Strong"/>
          <w:b w:val="0"/>
          <w:sz w:val="22"/>
          <w:szCs w:val="22"/>
          <w:lang w:val="en-GB"/>
        </w:rPr>
        <w:t>L</w:t>
      </w:r>
      <w:r w:rsidRPr="00A56411">
        <w:rPr>
          <w:rStyle w:val="Strong"/>
          <w:b w:val="0"/>
          <w:sz w:val="22"/>
          <w:szCs w:val="22"/>
          <w:lang w:val="en-GB"/>
        </w:rPr>
        <w:t xml:space="preserve">ump </w:t>
      </w:r>
      <w:r w:rsidR="00092F80" w:rsidRPr="00A56411">
        <w:rPr>
          <w:rStyle w:val="Strong"/>
          <w:b w:val="0"/>
          <w:sz w:val="22"/>
          <w:szCs w:val="22"/>
          <w:lang w:val="en-GB"/>
        </w:rPr>
        <w:t>sum</w:t>
      </w:r>
      <w:r w:rsidR="00092F80">
        <w:rPr>
          <w:rStyle w:val="Strong"/>
          <w:b w:val="0"/>
          <w:sz w:val="22"/>
          <w:szCs w:val="22"/>
          <w:lang w:val="en-GB"/>
        </w:rPr>
        <w:t xml:space="preserve"> </w:t>
      </w:r>
    </w:p>
    <w:p w14:paraId="21E996D8" w14:textId="77777777" w:rsidR="00424962" w:rsidRDefault="00092F80">
      <w:pPr>
        <w:pStyle w:val="PRAGHeading2"/>
        <w:spacing w:before="240" w:after="120" w:line="240" w:lineRule="atLeast"/>
        <w:ind w:left="425" w:hanging="425"/>
        <w:rPr>
          <w:rStyle w:val="Strong"/>
          <w:sz w:val="22"/>
          <w:szCs w:val="22"/>
          <w:lang w:val="en-GB"/>
        </w:rPr>
      </w:pPr>
      <w:r>
        <w:rPr>
          <w:rStyle w:val="Strong"/>
          <w:sz w:val="22"/>
          <w:szCs w:val="22"/>
          <w:lang w:val="en-GB"/>
        </w:rPr>
        <w:t>Programme title</w:t>
      </w:r>
    </w:p>
    <w:p w14:paraId="24C7C027" w14:textId="2A00C4BA" w:rsidR="00213D17" w:rsidRDefault="002905C8" w:rsidP="00011A8E">
      <w:pPr>
        <w:pStyle w:val="PRAGHeading2"/>
        <w:numPr>
          <w:ilvl w:val="0"/>
          <w:numId w:val="0"/>
        </w:numPr>
        <w:spacing w:before="240" w:after="120" w:line="240" w:lineRule="atLeast"/>
        <w:ind w:left="425"/>
        <w:rPr>
          <w:rStyle w:val="Strong"/>
          <w:b w:val="0"/>
          <w:bCs/>
          <w:sz w:val="22"/>
          <w:szCs w:val="22"/>
        </w:rPr>
      </w:pPr>
      <w:r>
        <w:rPr>
          <w:rStyle w:val="Strong"/>
          <w:b w:val="0"/>
          <w:bCs/>
          <w:sz w:val="22"/>
          <w:szCs w:val="22"/>
        </w:rPr>
        <w:t xml:space="preserve">IPA </w:t>
      </w:r>
      <w:r w:rsidR="00232904">
        <w:rPr>
          <w:rStyle w:val="Strong"/>
          <w:b w:val="0"/>
          <w:bCs/>
          <w:sz w:val="22"/>
          <w:szCs w:val="22"/>
        </w:rPr>
        <w:t xml:space="preserve">III </w:t>
      </w:r>
    </w:p>
    <w:p w14:paraId="441AC001" w14:textId="65025019" w:rsidR="00011A8E" w:rsidRDefault="00BC6FC4" w:rsidP="00011A8E">
      <w:pPr>
        <w:pStyle w:val="PRAGHeading2"/>
        <w:numPr>
          <w:ilvl w:val="0"/>
          <w:numId w:val="0"/>
        </w:numPr>
        <w:spacing w:before="240" w:after="120" w:line="240" w:lineRule="atLeast"/>
        <w:ind w:left="425"/>
        <w:rPr>
          <w:rStyle w:val="Strong"/>
          <w:sz w:val="22"/>
          <w:szCs w:val="22"/>
          <w:lang w:val="en-GB"/>
        </w:rPr>
      </w:pPr>
      <w:r w:rsidRPr="000C432E">
        <w:rPr>
          <w:rStyle w:val="Strong"/>
          <w:b w:val="0"/>
          <w:bCs/>
          <w:sz w:val="22"/>
          <w:szCs w:val="22"/>
        </w:rPr>
        <w:t>Interreg VI-I IPA  CCI Number: 2021TC16IPCB007</w:t>
      </w:r>
      <w:r w:rsidR="00DD4E5C">
        <w:rPr>
          <w:rStyle w:val="Strong"/>
          <w:b w:val="0"/>
          <w:bCs/>
          <w:sz w:val="22"/>
          <w:szCs w:val="22"/>
        </w:rPr>
        <w:t xml:space="preserve">, CBC Bulgaria-Serbia </w:t>
      </w:r>
    </w:p>
    <w:p w14:paraId="2D9C1626" w14:textId="77777777" w:rsidR="00424962" w:rsidRPr="00011A8E" w:rsidRDefault="00092F80">
      <w:pPr>
        <w:pStyle w:val="PRAGHeading2"/>
        <w:spacing w:before="240" w:after="120" w:line="240" w:lineRule="atLeast"/>
        <w:ind w:left="425" w:hanging="425"/>
        <w:rPr>
          <w:rStyle w:val="Strong"/>
          <w:sz w:val="22"/>
          <w:szCs w:val="22"/>
        </w:rPr>
      </w:pPr>
      <w:r>
        <w:rPr>
          <w:rStyle w:val="Strong"/>
          <w:sz w:val="22"/>
          <w:szCs w:val="22"/>
          <w:lang w:val="en-GB"/>
        </w:rPr>
        <w:t>Financing</w:t>
      </w:r>
    </w:p>
    <w:p w14:paraId="472DF66F" w14:textId="77777777" w:rsidR="00BC6FC4" w:rsidRDefault="00BC6FC4" w:rsidP="00BC6FC4">
      <w:r w:rsidRPr="000C432E">
        <w:t>The project is co-financed by the European Union, in accordance with the rules of Interreg IPA CBC Bulgaria – Serbia Programme 2021 - 2027 programme, Interreg VI-I IPA  CCI Number: 2021TC16IPCB007.</w:t>
      </w:r>
    </w:p>
    <w:p w14:paraId="41DA33C9" w14:textId="77777777" w:rsidR="00011A8E" w:rsidRDefault="00011A8E" w:rsidP="00011A8E">
      <w:pPr>
        <w:pStyle w:val="PRAGHeading2"/>
        <w:numPr>
          <w:ilvl w:val="0"/>
          <w:numId w:val="0"/>
        </w:numPr>
        <w:spacing w:before="240" w:after="120" w:line="240" w:lineRule="atLeast"/>
        <w:ind w:left="425"/>
        <w:rPr>
          <w:rStyle w:val="Strong"/>
          <w:sz w:val="22"/>
          <w:szCs w:val="22"/>
        </w:rPr>
      </w:pPr>
    </w:p>
    <w:p w14:paraId="580A8D3D" w14:textId="3C2811D9" w:rsidR="00424962" w:rsidRDefault="00092F80">
      <w:pPr>
        <w:pStyle w:val="PRAGHeading2"/>
        <w:numPr>
          <w:ilvl w:val="0"/>
          <w:numId w:val="0"/>
        </w:numPr>
        <w:spacing w:before="240" w:after="120" w:line="240" w:lineRule="atLeast"/>
        <w:ind w:left="425"/>
        <w:rPr>
          <w:rStyle w:val="Strong"/>
          <w:b w:val="0"/>
          <w:bCs/>
          <w:sz w:val="22"/>
          <w:szCs w:val="22"/>
        </w:rPr>
      </w:pPr>
      <w:r>
        <w:rPr>
          <w:rStyle w:val="Strong"/>
          <w:b w:val="0"/>
          <w:bCs/>
          <w:sz w:val="22"/>
          <w:szCs w:val="22"/>
        </w:rPr>
        <w:t xml:space="preserve"> </w:t>
      </w:r>
    </w:p>
    <w:p w14:paraId="27D94A68" w14:textId="77777777" w:rsidR="00424962" w:rsidRDefault="00092F80">
      <w:pPr>
        <w:pStyle w:val="PRAGHeading2"/>
        <w:spacing w:before="240" w:after="120" w:line="240" w:lineRule="atLeast"/>
        <w:ind w:left="425" w:hanging="425"/>
        <w:rPr>
          <w:rStyle w:val="Strong"/>
          <w:sz w:val="22"/>
          <w:szCs w:val="22"/>
          <w:lang w:val="en-GB"/>
        </w:rPr>
      </w:pPr>
      <w:r>
        <w:rPr>
          <w:rStyle w:val="Strong"/>
          <w:sz w:val="22"/>
          <w:szCs w:val="22"/>
          <w:lang w:val="en-GB"/>
        </w:rPr>
        <w:t>Legal basis, eligibility and rules of origin</w:t>
      </w:r>
    </w:p>
    <w:p w14:paraId="4B4665F1" w14:textId="77777777" w:rsidR="00011A8E" w:rsidRPr="00AF71E0" w:rsidRDefault="00011A8E" w:rsidP="00011A8E">
      <w:pPr>
        <w:pStyle w:val="PRAGHeading2"/>
        <w:numPr>
          <w:ilvl w:val="0"/>
          <w:numId w:val="0"/>
        </w:numPr>
        <w:spacing w:before="240" w:after="120" w:line="240" w:lineRule="atLeast"/>
        <w:ind w:left="425"/>
        <w:jc w:val="center"/>
        <w:rPr>
          <w:rStyle w:val="Strong"/>
          <w:sz w:val="22"/>
          <w:szCs w:val="22"/>
          <w:lang w:val="en-GB"/>
        </w:rPr>
      </w:pPr>
      <w:r w:rsidRPr="00AF71E0">
        <w:rPr>
          <w:rStyle w:val="Strong"/>
          <w:sz w:val="22"/>
          <w:szCs w:val="22"/>
          <w:lang w:val="en-GB"/>
        </w:rPr>
        <w:t>*****</w:t>
      </w:r>
    </w:p>
    <w:p w14:paraId="56084B2D" w14:textId="77777777" w:rsidR="00424962" w:rsidRPr="009A45C8" w:rsidRDefault="00092F80">
      <w:pPr>
        <w:pStyle w:val="paragraph"/>
        <w:spacing w:before="0" w:beforeAutospacing="0" w:after="120" w:afterAutospacing="0" w:line="240" w:lineRule="atLeast"/>
        <w:ind w:left="426"/>
        <w:jc w:val="both"/>
        <w:textAlignment w:val="baseline"/>
        <w:rPr>
          <w:rFonts w:ascii="Segoe UI" w:hAnsi="Segoe UI" w:cs="Segoe UI"/>
          <w:sz w:val="22"/>
          <w:szCs w:val="22"/>
          <w:lang w:val="en-GB"/>
        </w:rPr>
      </w:pPr>
      <w:bookmarkStart w:id="0" w:name="_Hlk161766772"/>
      <w:r w:rsidRPr="00AF71E0">
        <w:rPr>
          <w:iCs/>
          <w:sz w:val="22"/>
          <w:szCs w:val="22"/>
          <w:lang w:val="en-IE"/>
        </w:rPr>
        <w:t xml:space="preserve">The legal basis of this procedure is </w:t>
      </w:r>
      <w:bookmarkEnd w:id="0"/>
      <w:r w:rsidRPr="009A45C8">
        <w:rPr>
          <w:iCs/>
          <w:sz w:val="22"/>
          <w:szCs w:val="22"/>
          <w:lang w:val="en-IE"/>
        </w:rPr>
        <w:t xml:space="preserve">Regulation (EU) No  2021/1529 establishing the Instrument for Pre-accession Assistance (IPA III). </w:t>
      </w:r>
      <w:r w:rsidRPr="009A45C8">
        <w:rPr>
          <w:rStyle w:val="normaltextrun"/>
          <w:sz w:val="22"/>
          <w:szCs w:val="22"/>
          <w:lang w:val="en-GB"/>
        </w:rPr>
        <w:t>See Annex a2a1 of the practical guide.</w:t>
      </w:r>
    </w:p>
    <w:p w14:paraId="1738DD8F" w14:textId="77777777" w:rsidR="00424962" w:rsidRPr="009A45C8" w:rsidRDefault="00092F80">
      <w:pPr>
        <w:pStyle w:val="paragraph"/>
        <w:spacing w:before="0" w:beforeAutospacing="0" w:after="120" w:afterAutospacing="0" w:line="240" w:lineRule="atLeast"/>
        <w:ind w:left="426"/>
        <w:jc w:val="both"/>
        <w:textAlignment w:val="baseline"/>
        <w:rPr>
          <w:iCs/>
          <w:sz w:val="22"/>
          <w:szCs w:val="22"/>
          <w:lang w:val="en-IE"/>
        </w:rPr>
      </w:pPr>
      <w:r w:rsidRPr="009A45C8">
        <w:rPr>
          <w:iCs/>
          <w:sz w:val="22"/>
          <w:szCs w:val="22"/>
          <w:lang w:val="en-IE"/>
        </w:rPr>
        <w:t xml:space="preserve">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2021/1529 establishing the Instrument for Pre-accession Assistance (IPA III). </w:t>
      </w:r>
    </w:p>
    <w:p w14:paraId="7B98731D" w14:textId="77777777" w:rsidR="00424962" w:rsidRPr="009A45C8" w:rsidRDefault="00092F80">
      <w:pPr>
        <w:spacing w:before="0" w:after="120" w:line="240" w:lineRule="atLeast"/>
        <w:ind w:left="426"/>
        <w:jc w:val="both"/>
        <w:rPr>
          <w:iCs/>
          <w:sz w:val="22"/>
          <w:szCs w:val="22"/>
          <w:lang w:val="en-IE"/>
        </w:rPr>
      </w:pPr>
      <w:r w:rsidRPr="009A45C8">
        <w:rPr>
          <w:iCs/>
          <w:sz w:val="22"/>
          <w:szCs w:val="22"/>
          <w:lang w:val="en-IE"/>
        </w:rPr>
        <w:t>Participation is also open to international and regional organisations.</w:t>
      </w:r>
      <w:bookmarkStart w:id="1" w:name="_Hlk168489221"/>
      <w:bookmarkEnd w:id="1"/>
    </w:p>
    <w:p w14:paraId="22851A45" w14:textId="77777777" w:rsidR="00424962" w:rsidRDefault="00092F80">
      <w:pPr>
        <w:pStyle w:val="paragraph"/>
        <w:spacing w:before="0" w:beforeAutospacing="0" w:after="360" w:afterAutospacing="0" w:line="240" w:lineRule="atLeast"/>
        <w:ind w:left="425" w:right="272"/>
        <w:jc w:val="both"/>
        <w:textAlignment w:val="baseline"/>
        <w:rPr>
          <w:rStyle w:val="eop"/>
          <w:sz w:val="22"/>
          <w:szCs w:val="22"/>
          <w:lang w:val="en-US"/>
        </w:rPr>
      </w:pPr>
      <w:r w:rsidRPr="009A45C8">
        <w:rPr>
          <w:rStyle w:val="normaltextrun"/>
          <w:sz w:val="22"/>
          <w:szCs w:val="22"/>
          <w:lang w:val="en-GB"/>
        </w:rPr>
        <w:t>All supplies and materials under this contract may originate in any country</w:t>
      </w:r>
      <w:r w:rsidRPr="009A45C8">
        <w:rPr>
          <w:rStyle w:val="normaltextrun"/>
          <w:sz w:val="22"/>
          <w:szCs w:val="22"/>
          <w:shd w:val="clear" w:color="auto" w:fill="C0C0C0"/>
          <w:lang w:val="en-GB"/>
        </w:rPr>
        <w:t>.</w:t>
      </w:r>
    </w:p>
    <w:p w14:paraId="674D90EC" w14:textId="77777777" w:rsidR="00424962" w:rsidRDefault="00092F80">
      <w:pPr>
        <w:pStyle w:val="PRAGHeading2"/>
        <w:spacing w:before="240" w:after="120" w:line="240" w:lineRule="atLeast"/>
        <w:ind w:left="425" w:hanging="425"/>
        <w:rPr>
          <w:rStyle w:val="Strong"/>
          <w:sz w:val="22"/>
          <w:szCs w:val="22"/>
          <w:lang w:val="en-GB"/>
        </w:rPr>
      </w:pPr>
      <w:bookmarkStart w:id="2" w:name="_DV_M201"/>
      <w:bookmarkEnd w:id="2"/>
      <w:r>
        <w:rPr>
          <w:rStyle w:val="Strong"/>
          <w:sz w:val="22"/>
          <w:szCs w:val="22"/>
          <w:lang w:val="en-GB"/>
        </w:rPr>
        <w:t xml:space="preserve">Candidature </w:t>
      </w:r>
    </w:p>
    <w:p w14:paraId="25BD8EFE" w14:textId="77777777" w:rsidR="00424962" w:rsidRDefault="00092F80">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All eligible natural and legal persons (as per item 4 above) or groupings of such persons (consortia) may participate or tender.</w:t>
      </w:r>
    </w:p>
    <w:p w14:paraId="74237745" w14:textId="77777777" w:rsidR="00424962" w:rsidRDefault="00092F80">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 consortium may be a permanent, legally established grouping or a grouping which has been constituted informally for a specific procurement procedure. All members of a consortium (i.e., the leader and all other members) are jointly and severally liable to the contracting authority.</w:t>
      </w:r>
    </w:p>
    <w:p w14:paraId="0FA37979" w14:textId="77777777" w:rsidR="00424962" w:rsidRDefault="00092F80">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The participation or tender of an ineligible natural or legal person will result in the automatic exclusion of that person. In particular, if that ineligible person belongs to a consortium, the whole consortium will be excluded. </w:t>
      </w:r>
    </w:p>
    <w:p w14:paraId="0D77BD8C" w14:textId="50AA5260" w:rsidR="00424962" w:rsidRDefault="00092F80">
      <w:pPr>
        <w:pStyle w:val="PRAGHeading2"/>
        <w:spacing w:before="240" w:after="120" w:line="240" w:lineRule="atLeast"/>
        <w:ind w:left="425" w:hanging="425"/>
        <w:rPr>
          <w:rStyle w:val="Strong"/>
          <w:sz w:val="22"/>
          <w:szCs w:val="22"/>
          <w:lang w:val="en-GB"/>
        </w:rPr>
      </w:pPr>
      <w:r>
        <w:rPr>
          <w:rStyle w:val="Strong"/>
          <w:sz w:val="22"/>
          <w:szCs w:val="22"/>
          <w:lang w:val="en-GB"/>
        </w:rPr>
        <w:lastRenderedPageBreak/>
        <w:t xml:space="preserve">Number of requests to participate or tenders  </w:t>
      </w:r>
    </w:p>
    <w:p w14:paraId="231907D9" w14:textId="77777777" w:rsidR="00DD469E" w:rsidRDefault="00DD469E" w:rsidP="00DD469E">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No more than one request to participate or tender can be submitted by a natural or legal person whatever the form of participation (as an individual legal entity or as leader or member of a consortium submitting a request to participate or tender). In the event that a natural or legal person submits more than one request to participate or tender, all requests to participate or tenders in which that person has participated will be excluded. </w:t>
      </w:r>
    </w:p>
    <w:p w14:paraId="124ED7B1" w14:textId="77777777" w:rsidR="00DD469E" w:rsidRPr="00FA24DB" w:rsidRDefault="00DD469E" w:rsidP="00DD469E">
      <w:pPr>
        <w:pStyle w:val="Blockquote"/>
        <w:spacing w:before="0" w:after="120" w:line="240" w:lineRule="atLeast"/>
        <w:ind w:left="426" w:right="-48"/>
        <w:jc w:val="both"/>
        <w:rPr>
          <w:sz w:val="22"/>
          <w:szCs w:val="22"/>
          <w:lang w:val="en-GB"/>
        </w:rPr>
      </w:pPr>
      <w:r>
        <w:rPr>
          <w:sz w:val="22"/>
          <w:szCs w:val="22"/>
          <w:lang w:val="en-GB"/>
        </w:rPr>
        <w:t>In case of lots, t</w:t>
      </w:r>
      <w:r w:rsidRPr="00FA24DB">
        <w:rPr>
          <w:sz w:val="22"/>
          <w:szCs w:val="22"/>
          <w:lang w:val="en-GB"/>
        </w:rPr>
        <w:t xml:space="preserve">he candidates or tenderers may submit only one </w:t>
      </w:r>
      <w:r>
        <w:rPr>
          <w:sz w:val="22"/>
          <w:szCs w:val="22"/>
          <w:lang w:val="en-GB"/>
        </w:rPr>
        <w:t>request to participate</w:t>
      </w:r>
      <w:r w:rsidRPr="00FA24DB">
        <w:rPr>
          <w:sz w:val="22"/>
          <w:szCs w:val="22"/>
          <w:lang w:val="en-GB"/>
        </w:rPr>
        <w:t xml:space="preserve"> or tender per lot. Contracts will be awarded lot by lot and each lot will form a separate contract</w:t>
      </w:r>
      <w:bookmarkStart w:id="3" w:name="_Hlk166747125"/>
      <w:r w:rsidRPr="00FA24DB">
        <w:rPr>
          <w:sz w:val="22"/>
          <w:szCs w:val="22"/>
          <w:lang w:val="en-GB"/>
        </w:rPr>
        <w:t>.</w:t>
      </w:r>
      <w:r>
        <w:rPr>
          <w:sz w:val="22"/>
          <w:szCs w:val="22"/>
          <w:lang w:val="en-GB"/>
        </w:rPr>
        <w:t xml:space="preserve"> </w:t>
      </w:r>
      <w:r w:rsidRPr="00DF455D">
        <w:rPr>
          <w:sz w:val="22"/>
          <w:szCs w:val="22"/>
          <w:lang w:val="en-GB"/>
        </w:rPr>
        <w:t>If the tenderer is awarded more than one lot, a single contract may be concluded covering all those lots.</w:t>
      </w:r>
      <w:bookmarkEnd w:id="3"/>
    </w:p>
    <w:p w14:paraId="4497C3E4" w14:textId="17AF83EA" w:rsidR="00011A8E" w:rsidRPr="00361BF6" w:rsidRDefault="00011A8E" w:rsidP="00011A8E">
      <w:pPr>
        <w:pStyle w:val="PRAGHeading2"/>
        <w:suppressAutoHyphens w:val="0"/>
        <w:spacing w:before="240" w:after="120" w:line="240" w:lineRule="atLeast"/>
        <w:ind w:left="425" w:hanging="425"/>
        <w:rPr>
          <w:rStyle w:val="Strong"/>
          <w:rFonts w:ascii="Minion Pro" w:hAnsi="Minion Pro" w:cs="Minion Pro"/>
          <w:color w:val="000000"/>
          <w:sz w:val="22"/>
          <w:szCs w:val="22"/>
          <w:lang w:val="en-GB" w:eastAsia="en-GB"/>
        </w:rPr>
      </w:pPr>
    </w:p>
    <w:p w14:paraId="05E204E5" w14:textId="77777777" w:rsidR="00424962" w:rsidRPr="00280D5A" w:rsidRDefault="00092F80">
      <w:pPr>
        <w:pStyle w:val="PRAGHeading2"/>
        <w:numPr>
          <w:ilvl w:val="0"/>
          <w:numId w:val="0"/>
        </w:numPr>
        <w:spacing w:before="0" w:after="120" w:line="240" w:lineRule="atLeast"/>
        <w:ind w:left="426"/>
        <w:rPr>
          <w:rStyle w:val="Strong"/>
          <w:sz w:val="22"/>
          <w:szCs w:val="22"/>
          <w:lang w:val="en-GB"/>
        </w:rPr>
      </w:pPr>
      <w:r w:rsidRPr="00280D5A">
        <w:rPr>
          <w:rStyle w:val="Strong"/>
          <w:sz w:val="22"/>
          <w:szCs w:val="22"/>
          <w:lang w:val="en-GB"/>
        </w:rPr>
        <w:t>Grounds for exclusion</w:t>
      </w:r>
    </w:p>
    <w:p w14:paraId="4AE288DA" w14:textId="77777777" w:rsidR="00424962" w:rsidRPr="00280D5A" w:rsidRDefault="00092F80">
      <w:pPr>
        <w:spacing w:before="0" w:after="120" w:line="240" w:lineRule="atLeast"/>
        <w:ind w:left="426"/>
        <w:jc w:val="both"/>
        <w:rPr>
          <w:b/>
          <w:sz w:val="22"/>
          <w:szCs w:val="22"/>
          <w:lang w:val="en-GB"/>
        </w:rPr>
      </w:pPr>
      <w:r w:rsidRPr="00280D5A">
        <w:rPr>
          <w:sz w:val="22"/>
          <w:szCs w:val="22"/>
          <w:lang w:val="en-GB"/>
        </w:rPr>
        <w:t xml:space="preserve">Candidates must submit a signed declaration, included in the request to participate form, to the effect that they are not in any of the situations listed in Section 2.4.2.1. of the </w:t>
      </w:r>
      <w:r w:rsidRPr="00280D5A">
        <w:rPr>
          <w:b/>
          <w:sz w:val="22"/>
          <w:szCs w:val="22"/>
          <w:lang w:val="en-GB"/>
        </w:rPr>
        <w:t xml:space="preserve">practical guide (PRAG). </w:t>
      </w:r>
      <w:r w:rsidRPr="00280D5A">
        <w:rPr>
          <w:sz w:val="22"/>
          <w:szCs w:val="22"/>
          <w:lang w:val="en-GB"/>
        </w:rPr>
        <w:t>Where the candidate intends to rely on capacity providing entities or subcontractor(s), he/she must provide the same declaration signed by this/these entity(ies).</w:t>
      </w:r>
    </w:p>
    <w:p w14:paraId="6FA8EDDB" w14:textId="77777777" w:rsidR="00424962" w:rsidRPr="00011A8E" w:rsidRDefault="00092F80">
      <w:pPr>
        <w:pStyle w:val="Blockquote"/>
        <w:spacing w:before="0" w:after="120" w:line="240" w:lineRule="atLeast"/>
        <w:ind w:left="426" w:right="26"/>
        <w:jc w:val="both"/>
        <w:rPr>
          <w:sz w:val="22"/>
          <w:szCs w:val="22"/>
          <w:lang w:val="en-GB"/>
        </w:rPr>
      </w:pPr>
      <w:r w:rsidRPr="00280D5A">
        <w:rPr>
          <w:sz w:val="22"/>
          <w:szCs w:val="22"/>
          <w:lang w:val="en-GB"/>
        </w:rPr>
        <w:t>Candidates included in the lists of EU restrictive measures (see Section 2.4. of the PRAG) at the moment of the award decision cannot be awarded the contract</w:t>
      </w:r>
      <w:r w:rsidRPr="00A56411">
        <w:rPr>
          <w:rStyle w:val="FootnoteAnchor"/>
          <w:sz w:val="22"/>
          <w:szCs w:val="22"/>
          <w:lang w:val="en-GB"/>
        </w:rPr>
        <w:footnoteReference w:id="1"/>
      </w:r>
      <w:r w:rsidRPr="00A56411">
        <w:rPr>
          <w:sz w:val="22"/>
          <w:szCs w:val="22"/>
          <w:lang w:val="en-GB"/>
        </w:rPr>
        <w:t>.</w:t>
      </w:r>
    </w:p>
    <w:p w14:paraId="3EB9E285" w14:textId="77777777" w:rsidR="00424962" w:rsidRPr="00DD469E" w:rsidRDefault="00092F80">
      <w:pPr>
        <w:pStyle w:val="PRAGHeading2"/>
        <w:spacing w:before="240" w:after="120" w:line="240" w:lineRule="atLeast"/>
        <w:ind w:left="426" w:hanging="426"/>
        <w:rPr>
          <w:rStyle w:val="Strong"/>
          <w:sz w:val="22"/>
          <w:szCs w:val="22"/>
          <w:lang w:val="en-GB"/>
        </w:rPr>
      </w:pPr>
      <w:r w:rsidRPr="00DD469E">
        <w:rPr>
          <w:rStyle w:val="Strong"/>
          <w:sz w:val="22"/>
          <w:szCs w:val="22"/>
          <w:lang w:val="en-GB"/>
        </w:rPr>
        <w:t xml:space="preserve">Sub-contracting </w:t>
      </w:r>
    </w:p>
    <w:p w14:paraId="7C33DACF" w14:textId="77777777" w:rsidR="00424962" w:rsidRPr="00DD469E" w:rsidRDefault="00092F80">
      <w:pPr>
        <w:pStyle w:val="PRAGHeading2"/>
        <w:numPr>
          <w:ilvl w:val="0"/>
          <w:numId w:val="0"/>
        </w:numPr>
        <w:spacing w:before="0" w:after="120" w:line="240" w:lineRule="atLeast"/>
        <w:ind w:left="426"/>
        <w:rPr>
          <w:rStyle w:val="Strong"/>
          <w:sz w:val="22"/>
          <w:szCs w:val="22"/>
          <w:lang w:val="en-GB"/>
        </w:rPr>
      </w:pPr>
      <w:r w:rsidRPr="00DD469E">
        <w:rPr>
          <w:rStyle w:val="Emphasis"/>
          <w:i w:val="0"/>
          <w:sz w:val="22"/>
          <w:szCs w:val="22"/>
        </w:rPr>
        <w:t>Sub-contracting is allowed.</w:t>
      </w:r>
    </w:p>
    <w:p w14:paraId="56D2714E" w14:textId="77777777" w:rsidR="00011A8E" w:rsidRPr="00232904" w:rsidRDefault="00011A8E" w:rsidP="00011A8E">
      <w:pPr>
        <w:pStyle w:val="PRAGHeading2"/>
        <w:suppressAutoHyphens w:val="0"/>
        <w:spacing w:before="240" w:after="120" w:line="240" w:lineRule="atLeast"/>
        <w:ind w:left="426" w:hanging="426"/>
        <w:rPr>
          <w:rStyle w:val="Strong"/>
          <w:sz w:val="22"/>
          <w:szCs w:val="22"/>
          <w:lang w:val="en-GB"/>
        </w:rPr>
      </w:pPr>
      <w:r w:rsidRPr="00232904">
        <w:rPr>
          <w:rStyle w:val="Strong"/>
          <w:sz w:val="22"/>
          <w:szCs w:val="22"/>
          <w:lang w:val="en-GB"/>
        </w:rPr>
        <w:t xml:space="preserve">Number of candidates to be short-listed </w:t>
      </w:r>
    </w:p>
    <w:p w14:paraId="7358E1A8" w14:textId="0938C8D9" w:rsidR="00AF71E0" w:rsidRDefault="002905C8" w:rsidP="00011A8E">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N/A</w:t>
      </w:r>
      <w:r w:rsidR="0091674A">
        <w:rPr>
          <w:rStyle w:val="Strong"/>
          <w:b w:val="0"/>
          <w:sz w:val="22"/>
          <w:szCs w:val="22"/>
          <w:lang w:val="en-GB"/>
        </w:rPr>
        <w:t xml:space="preserve"> </w:t>
      </w:r>
      <w:r w:rsidR="00DD4E5C">
        <w:rPr>
          <w:rStyle w:val="Strong"/>
          <w:b w:val="0"/>
          <w:sz w:val="22"/>
          <w:szCs w:val="22"/>
          <w:lang w:val="en-GB"/>
        </w:rPr>
        <w:t xml:space="preserve">Not applicable </w:t>
      </w:r>
    </w:p>
    <w:p w14:paraId="7EBCA457" w14:textId="7E7FF4F9" w:rsidR="00DD469E" w:rsidRPr="00232904" w:rsidRDefault="00DD469E" w:rsidP="00531A26">
      <w:pPr>
        <w:pStyle w:val="PRAGHeading2"/>
      </w:pPr>
      <w:r w:rsidRPr="00232904">
        <w:t xml:space="preserve">Short-list alliances prohibited </w:t>
      </w:r>
    </w:p>
    <w:p w14:paraId="73819065" w14:textId="621F14D6" w:rsidR="00AF71E0" w:rsidRPr="009A45C8" w:rsidRDefault="00DD4E5C" w:rsidP="00DD469E">
      <w:pPr>
        <w:pStyle w:val="PRAGHeading2"/>
        <w:numPr>
          <w:ilvl w:val="0"/>
          <w:numId w:val="0"/>
        </w:numPr>
        <w:ind w:left="567"/>
        <w:rPr>
          <w:sz w:val="22"/>
          <w:szCs w:val="22"/>
          <w:lang w:val="en-GB"/>
        </w:rPr>
      </w:pPr>
      <w:r w:rsidRPr="009A45C8">
        <w:rPr>
          <w:sz w:val="22"/>
          <w:szCs w:val="22"/>
          <w:lang w:val="en-GB"/>
        </w:rPr>
        <w:t xml:space="preserve">Not applicable </w:t>
      </w:r>
    </w:p>
    <w:p w14:paraId="0F504754" w14:textId="77777777" w:rsidR="00DD469E" w:rsidRPr="009A45C8" w:rsidRDefault="00DD469E" w:rsidP="00DD469E">
      <w:pPr>
        <w:pStyle w:val="PRAGHeading2"/>
        <w:suppressAutoHyphens w:val="0"/>
        <w:spacing w:before="240" w:after="120" w:line="240" w:lineRule="atLeast"/>
        <w:ind w:left="426" w:hanging="426"/>
        <w:rPr>
          <w:rStyle w:val="Strong"/>
          <w:sz w:val="22"/>
          <w:szCs w:val="22"/>
          <w:lang w:val="en-GB"/>
        </w:rPr>
      </w:pPr>
      <w:r w:rsidRPr="009A45C8">
        <w:rPr>
          <w:rStyle w:val="Strong"/>
          <w:sz w:val="22"/>
          <w:szCs w:val="22"/>
          <w:lang w:val="en-GB"/>
        </w:rPr>
        <w:t xml:space="preserve">Provisional date of invitation to tender </w:t>
      </w:r>
    </w:p>
    <w:p w14:paraId="15CD0F3A" w14:textId="338AE289" w:rsidR="00DD469E" w:rsidRPr="009A45C8" w:rsidRDefault="009A45C8" w:rsidP="00DD469E">
      <w:pPr>
        <w:pStyle w:val="PRAGHeading2"/>
        <w:numPr>
          <w:ilvl w:val="0"/>
          <w:numId w:val="0"/>
        </w:numPr>
        <w:spacing w:before="0" w:after="120" w:line="240" w:lineRule="atLeast"/>
        <w:ind w:left="426"/>
        <w:rPr>
          <w:i/>
          <w:lang w:val="en-GB"/>
        </w:rPr>
      </w:pPr>
      <w:r w:rsidRPr="009A45C8">
        <w:rPr>
          <w:rStyle w:val="Emphasis"/>
          <w:i w:val="0"/>
          <w:sz w:val="22"/>
          <w:szCs w:val="22"/>
          <w:lang w:val="en-GB"/>
        </w:rPr>
        <w:t>23.01.2026.</w:t>
      </w:r>
    </w:p>
    <w:p w14:paraId="4FA13296" w14:textId="77777777" w:rsidR="00424962" w:rsidRPr="009A45C8" w:rsidRDefault="00092F80" w:rsidP="00DD469E">
      <w:pPr>
        <w:pStyle w:val="PRAGHeading2"/>
        <w:rPr>
          <w:rStyle w:val="Strong"/>
          <w:b w:val="0"/>
        </w:rPr>
      </w:pPr>
      <w:r w:rsidRPr="009A45C8">
        <w:rPr>
          <w:rStyle w:val="Strong"/>
          <w:sz w:val="22"/>
          <w:szCs w:val="22"/>
          <w:lang w:val="en-GB"/>
        </w:rPr>
        <w:t xml:space="preserve">Provisional commencement date of the contract </w:t>
      </w:r>
    </w:p>
    <w:p w14:paraId="761E7723" w14:textId="5BF8967E" w:rsidR="00424962" w:rsidRPr="00531A26" w:rsidRDefault="002905C8" w:rsidP="00531A26">
      <w:pPr>
        <w:pStyle w:val="PRAGHeading2"/>
        <w:numPr>
          <w:ilvl w:val="0"/>
          <w:numId w:val="0"/>
        </w:numPr>
        <w:spacing w:before="240" w:after="120" w:line="240" w:lineRule="atLeast"/>
        <w:ind w:left="426"/>
        <w:rPr>
          <w:rStyle w:val="Strong"/>
          <w:b w:val="0"/>
        </w:rPr>
      </w:pPr>
      <w:r w:rsidRPr="002905C8">
        <w:t xml:space="preserve">The commencement date of the </w:t>
      </w:r>
      <w:r w:rsidR="00472494">
        <w:t xml:space="preserve">contract </w:t>
      </w:r>
      <w:r w:rsidRPr="002905C8">
        <w:t xml:space="preserve"> is considered to be the date when access to the Site is granted, in accordance with the Serbian Law on Planning and Construction. This occurs upon the introduction of the contractors into the works contract, as recorded by the supervisor in the Construction Log </w:t>
      </w:r>
      <w:r w:rsidR="00472494">
        <w:t>.</w:t>
      </w:r>
    </w:p>
    <w:p w14:paraId="24614563" w14:textId="77777777" w:rsidR="00531A26" w:rsidRDefault="00531A26">
      <w:pPr>
        <w:pStyle w:val="PRAGHeading2"/>
        <w:numPr>
          <w:ilvl w:val="0"/>
          <w:numId w:val="0"/>
        </w:numPr>
        <w:ind w:left="567"/>
        <w:rPr>
          <w:rStyle w:val="Strong"/>
          <w:sz w:val="22"/>
          <w:szCs w:val="22"/>
          <w:lang w:val="en-GB"/>
        </w:rPr>
      </w:pPr>
      <w:bookmarkStart w:id="4" w:name="_Hlk213145029"/>
    </w:p>
    <w:p w14:paraId="65F59086" w14:textId="77777777" w:rsidR="00531A26" w:rsidRDefault="00531A26">
      <w:pPr>
        <w:pStyle w:val="PRAGHeading2"/>
        <w:numPr>
          <w:ilvl w:val="0"/>
          <w:numId w:val="0"/>
        </w:numPr>
        <w:ind w:left="567"/>
        <w:rPr>
          <w:rStyle w:val="Strong"/>
          <w:sz w:val="22"/>
          <w:szCs w:val="22"/>
          <w:lang w:val="en-GB"/>
        </w:rPr>
      </w:pPr>
    </w:p>
    <w:p w14:paraId="3F06B841" w14:textId="77777777" w:rsidR="00531A26" w:rsidRPr="00C348D5" w:rsidRDefault="00531A26" w:rsidP="00531A26">
      <w:pPr>
        <w:pStyle w:val="PRAGHeading2"/>
        <w:suppressAutoHyphens w:val="0"/>
        <w:spacing w:before="240" w:after="120" w:line="240" w:lineRule="atLeast"/>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bookmarkEnd w:id="4"/>
    <w:p w14:paraId="09CD60F8" w14:textId="121D5DBE" w:rsidR="00424962" w:rsidRPr="00472494" w:rsidRDefault="009A45C8" w:rsidP="00531A26">
      <w:pPr>
        <w:pStyle w:val="PRAGHeading2"/>
        <w:numPr>
          <w:ilvl w:val="0"/>
          <w:numId w:val="0"/>
        </w:numPr>
        <w:ind w:left="567"/>
        <w:rPr>
          <w:b/>
          <w:bCs/>
        </w:rPr>
      </w:pPr>
      <w:r>
        <w:rPr>
          <w:rStyle w:val="Strong"/>
          <w:b w:val="0"/>
          <w:bCs/>
          <w:sz w:val="22"/>
          <w:szCs w:val="22"/>
          <w:lang w:val="en-GB"/>
        </w:rPr>
        <w:t xml:space="preserve">Maximum </w:t>
      </w:r>
      <w:r w:rsidR="0091674A" w:rsidRPr="00472494">
        <w:rPr>
          <w:rStyle w:val="Strong"/>
          <w:b w:val="0"/>
          <w:bCs/>
          <w:sz w:val="22"/>
          <w:szCs w:val="22"/>
          <w:lang w:val="en-GB"/>
        </w:rPr>
        <w:t xml:space="preserve">9 months </w:t>
      </w:r>
      <w:r w:rsidR="00472494">
        <w:rPr>
          <w:rStyle w:val="Strong"/>
          <w:b w:val="0"/>
          <w:bCs/>
          <w:sz w:val="22"/>
          <w:szCs w:val="22"/>
          <w:lang w:val="en-GB"/>
        </w:rPr>
        <w:t>/270 calendar days</w:t>
      </w:r>
    </w:p>
    <w:p w14:paraId="270DC943" w14:textId="77777777" w:rsidR="00424962" w:rsidRPr="00280D5A" w:rsidRDefault="00092F80">
      <w:pPr>
        <w:pStyle w:val="PRAGHeading2"/>
        <w:spacing w:before="240" w:after="120" w:line="240" w:lineRule="atLeast"/>
        <w:ind w:left="426" w:hanging="426"/>
        <w:rPr>
          <w:rStyle w:val="Strong"/>
          <w:sz w:val="22"/>
          <w:szCs w:val="22"/>
          <w:lang w:val="en-GB"/>
        </w:rPr>
      </w:pPr>
      <w:r w:rsidRPr="00280D5A">
        <w:rPr>
          <w:rStyle w:val="Strong"/>
          <w:sz w:val="22"/>
          <w:szCs w:val="22"/>
          <w:lang w:val="en-GB"/>
        </w:rPr>
        <w:t>Language of the procedure</w:t>
      </w:r>
    </w:p>
    <w:p w14:paraId="56EEC789" w14:textId="77777777" w:rsidR="00424962" w:rsidRPr="00280D5A" w:rsidRDefault="00092F80">
      <w:pPr>
        <w:spacing w:before="0" w:after="120" w:line="240" w:lineRule="atLeast"/>
        <w:ind w:left="426"/>
        <w:jc w:val="both"/>
        <w:rPr>
          <w:sz w:val="22"/>
          <w:szCs w:val="22"/>
          <w:lang w:val="en-GB"/>
        </w:rPr>
      </w:pPr>
      <w:r w:rsidRPr="00A56411">
        <w:rPr>
          <w:sz w:val="22"/>
          <w:szCs w:val="22"/>
          <w:lang w:val="en-GB"/>
        </w:rPr>
        <w:t>All written communications for this tender procedure and contract must be in English.</w:t>
      </w:r>
      <w:r w:rsidRPr="00280D5A">
        <w:rPr>
          <w:sz w:val="22"/>
          <w:szCs w:val="22"/>
          <w:lang w:val="en-GB"/>
        </w:rPr>
        <w:t xml:space="preserve"> </w:t>
      </w:r>
    </w:p>
    <w:p w14:paraId="2169B574" w14:textId="77777777" w:rsidR="00424962" w:rsidRPr="00280D5A" w:rsidRDefault="00092F80">
      <w:pPr>
        <w:pStyle w:val="PRAGHeading2"/>
        <w:tabs>
          <w:tab w:val="left" w:pos="426"/>
        </w:tabs>
        <w:spacing w:before="240" w:after="120" w:line="240" w:lineRule="atLeast"/>
        <w:ind w:hanging="567"/>
        <w:rPr>
          <w:rStyle w:val="Strong"/>
          <w:sz w:val="22"/>
          <w:szCs w:val="22"/>
          <w:lang w:val="en-GB"/>
        </w:rPr>
      </w:pPr>
      <w:r w:rsidRPr="00280D5A">
        <w:rPr>
          <w:rStyle w:val="Strong"/>
          <w:sz w:val="22"/>
          <w:szCs w:val="22"/>
          <w:lang w:val="en-GB"/>
        </w:rPr>
        <w:t>Additional information</w:t>
      </w:r>
    </w:p>
    <w:p w14:paraId="578F6EF4" w14:textId="77777777" w:rsidR="00531A26" w:rsidRPr="00280D5A" w:rsidRDefault="00531A26" w:rsidP="00531A26">
      <w:pPr>
        <w:pStyle w:val="PRAGHeading2"/>
        <w:numPr>
          <w:ilvl w:val="0"/>
          <w:numId w:val="0"/>
        </w:numPr>
        <w:tabs>
          <w:tab w:val="left" w:pos="426"/>
        </w:tabs>
        <w:spacing w:before="240" w:after="120" w:line="240" w:lineRule="atLeast"/>
        <w:ind w:left="567"/>
        <w:rPr>
          <w:rStyle w:val="Strong"/>
          <w:sz w:val="22"/>
          <w:szCs w:val="22"/>
          <w:lang w:val="en-GB"/>
        </w:rPr>
      </w:pPr>
    </w:p>
    <w:p w14:paraId="6F62DF15" w14:textId="6B277098" w:rsidR="00424962" w:rsidRDefault="00092F80" w:rsidP="00C17BB3">
      <w:pPr>
        <w:pStyle w:val="PRAGHeading2"/>
        <w:numPr>
          <w:ilvl w:val="0"/>
          <w:numId w:val="0"/>
        </w:numPr>
        <w:spacing w:before="0" w:after="120" w:line="240" w:lineRule="atLeast"/>
        <w:jc w:val="both"/>
        <w:rPr>
          <w:sz w:val="22"/>
          <w:szCs w:val="22"/>
          <w:lang w:val="en-GB"/>
        </w:rPr>
      </w:pPr>
      <w:r w:rsidRPr="00A56411">
        <w:rPr>
          <w:sz w:val="22"/>
          <w:szCs w:val="22"/>
          <w:lang w:val="en-GB"/>
        </w:rPr>
        <w:t>Financial data to be provided by the candidate in the tenderer in the tender submission form must be expressed in [EUR]</w:t>
      </w:r>
      <w:r w:rsidR="00073E64" w:rsidRPr="00A56411">
        <w:rPr>
          <w:sz w:val="22"/>
          <w:szCs w:val="22"/>
          <w:lang w:val="en-GB"/>
        </w:rPr>
        <w:t>.</w:t>
      </w:r>
      <w:r w:rsidRPr="00A56411">
        <w:rPr>
          <w:sz w:val="22"/>
          <w:szCs w:val="22"/>
          <w:lang w:val="en-GB"/>
        </w:rPr>
        <w:t xml:space="preserve"> If applicable, where a candidate or tenderer refers to amounts originally expressed in a different currency, the conversion </w:t>
      </w:r>
      <w:r w:rsidR="00073E64" w:rsidRPr="00A56411">
        <w:rPr>
          <w:sz w:val="22"/>
          <w:szCs w:val="22"/>
          <w:lang w:val="en-GB"/>
        </w:rPr>
        <w:t xml:space="preserve">to EUR </w:t>
      </w:r>
      <w:r w:rsidRPr="00A56411">
        <w:rPr>
          <w:sz w:val="22"/>
          <w:szCs w:val="22"/>
          <w:lang w:val="en-GB"/>
        </w:rPr>
        <w:t xml:space="preserve">shall be made in accordance with the InforEuro exchange rate of </w:t>
      </w:r>
      <w:r w:rsidR="00DD4E5C">
        <w:rPr>
          <w:sz w:val="22"/>
          <w:szCs w:val="22"/>
          <w:lang w:val="en-GB"/>
        </w:rPr>
        <w:t>JANUARY 2026</w:t>
      </w:r>
      <w:r w:rsidRPr="00A56411">
        <w:rPr>
          <w:b/>
          <w:sz w:val="22"/>
          <w:szCs w:val="22"/>
          <w:lang w:val="en-GB"/>
        </w:rPr>
        <w:t xml:space="preserve"> </w:t>
      </w:r>
      <w:r w:rsidRPr="00A56411">
        <w:rPr>
          <w:sz w:val="22"/>
          <w:szCs w:val="22"/>
          <w:lang w:val="en-GB"/>
        </w:rPr>
        <w:t xml:space="preserve">of the applicable InforEuro exchange rate, which can be found at the following address: </w:t>
      </w:r>
      <w:hyperlink r:id="rId8">
        <w:r w:rsidRPr="00A56411">
          <w:rPr>
            <w:rStyle w:val="Hyperlink"/>
            <w:sz w:val="22"/>
            <w:szCs w:val="22"/>
            <w:lang w:val="en-GB"/>
          </w:rPr>
          <w:t>http://ec.europa.eu/budget/graphs/inforeuro.html</w:t>
        </w:r>
      </w:hyperlink>
      <w:r w:rsidRPr="00A56411">
        <w:rPr>
          <w:sz w:val="22"/>
          <w:szCs w:val="22"/>
          <w:lang w:val="en-GB"/>
        </w:rPr>
        <w:t>.</w:t>
      </w:r>
    </w:p>
    <w:p w14:paraId="3F150E75" w14:textId="77777777" w:rsidR="00424962" w:rsidRDefault="00092F80">
      <w:pPr>
        <w:keepNext/>
        <w:keepLines/>
        <w:spacing w:before="0" w:after="120" w:line="240" w:lineRule="atLeast"/>
        <w:jc w:val="center"/>
        <w:rPr>
          <w:rStyle w:val="Strong"/>
          <w:sz w:val="22"/>
          <w:szCs w:val="22"/>
          <w:lang w:val="en-GB"/>
        </w:rPr>
      </w:pPr>
      <w:r>
        <w:rPr>
          <w:rStyle w:val="Strong"/>
          <w:sz w:val="22"/>
          <w:szCs w:val="22"/>
          <w:lang w:val="en-GB"/>
        </w:rPr>
        <w:t xml:space="preserve">SELECTION CRITERIA </w:t>
      </w:r>
    </w:p>
    <w:p w14:paraId="25D872A6" w14:textId="77777777" w:rsidR="00424962" w:rsidRDefault="00092F80">
      <w:pPr>
        <w:keepNext/>
        <w:keepLines/>
        <w:spacing w:before="0" w:after="120" w:line="240" w:lineRule="atLeast"/>
        <w:jc w:val="center"/>
        <w:rPr>
          <w:rStyle w:val="Strong"/>
          <w:sz w:val="22"/>
          <w:szCs w:val="22"/>
          <w:lang w:val="en-GB"/>
        </w:rPr>
      </w:pPr>
      <w:r>
        <w:rPr>
          <w:rStyle w:val="normaltextrun"/>
          <w:b/>
          <w:bCs/>
          <w:color w:val="000000"/>
          <w:sz w:val="22"/>
          <w:szCs w:val="22"/>
          <w:shd w:val="clear" w:color="auto" w:fill="FFFFFF"/>
        </w:rPr>
        <w:t> </w:t>
      </w:r>
      <w:r w:rsidRPr="009A45C8">
        <w:rPr>
          <w:rStyle w:val="Strong"/>
          <w:sz w:val="22"/>
          <w:szCs w:val="22"/>
          <w:lang w:val="en-GB"/>
        </w:rPr>
        <w:t>AND AWARD CRITERIA</w:t>
      </w:r>
    </w:p>
    <w:p w14:paraId="7BB32377" w14:textId="77777777" w:rsidR="00424962" w:rsidRDefault="00092F80">
      <w:pPr>
        <w:pStyle w:val="PRAGHeading2"/>
        <w:spacing w:before="360" w:after="120" w:line="240" w:lineRule="atLeast"/>
        <w:ind w:left="425" w:hanging="425"/>
        <w:rPr>
          <w:rStyle w:val="Strong"/>
          <w:sz w:val="22"/>
          <w:szCs w:val="22"/>
          <w:lang w:val="en-GB"/>
        </w:rPr>
      </w:pPr>
      <w:r>
        <w:rPr>
          <w:rStyle w:val="Strong"/>
          <w:sz w:val="22"/>
          <w:szCs w:val="22"/>
          <w:lang w:val="en-GB"/>
        </w:rPr>
        <w:t>Selection criteria</w:t>
      </w:r>
    </w:p>
    <w:p w14:paraId="22649248" w14:textId="77777777" w:rsidR="00424962" w:rsidRPr="00A56411" w:rsidRDefault="00092F80">
      <w:pPr>
        <w:widowControl/>
        <w:spacing w:before="0" w:after="160" w:line="240" w:lineRule="atLeast"/>
        <w:ind w:left="426"/>
        <w:jc w:val="both"/>
        <w:rPr>
          <w:sz w:val="22"/>
          <w:szCs w:val="22"/>
          <w:lang w:val="en-GB"/>
        </w:rPr>
      </w:pPr>
      <w:r w:rsidRPr="00A56411">
        <w:rPr>
          <w:sz w:val="22"/>
          <w:szCs w:val="22"/>
          <w:lang w:val="en-GB"/>
        </w:rPr>
        <w:t>Capacity-providing entities</w:t>
      </w:r>
    </w:p>
    <w:p w14:paraId="074C85FD" w14:textId="77777777" w:rsidR="00424962" w:rsidRPr="00A56411" w:rsidRDefault="00092F80">
      <w:pPr>
        <w:widowControl/>
        <w:spacing w:before="0" w:after="160" w:line="240" w:lineRule="atLeast"/>
        <w:ind w:left="426"/>
        <w:jc w:val="both"/>
        <w:rPr>
          <w:sz w:val="22"/>
          <w:szCs w:val="22"/>
          <w:lang w:val="en-GB"/>
        </w:rPr>
      </w:pPr>
      <w:r w:rsidRPr="00A56411">
        <w:rPr>
          <w:sz w:val="22"/>
          <w:szCs w:val="22"/>
          <w:lang w:val="en-GB"/>
        </w:rPr>
        <w:t xml:space="preserve">An economic operator (i.e. candidate or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fulfil the selection criteria for which the economic operator relies on them. </w:t>
      </w:r>
      <w:r w:rsidRPr="00A56411">
        <w:rPr>
          <w:b/>
          <w:sz w:val="22"/>
          <w:szCs w:val="22"/>
          <w:lang w:val="en-GB"/>
        </w:rPr>
        <w:t>Furthermore, the data for this third entity for the relevant selection criterion should not be included in the request to participate form but in a separate document</w:t>
      </w:r>
      <w:r w:rsidRPr="00A56411">
        <w:rPr>
          <w:sz w:val="22"/>
          <w:szCs w:val="22"/>
          <w:lang w:val="en-GB"/>
        </w:rPr>
        <w:t>. Proof of the capacity will also have to be provided when requested by the contracting authority.</w:t>
      </w:r>
    </w:p>
    <w:p w14:paraId="1DBCE65F" w14:textId="77777777" w:rsidR="00424962" w:rsidRPr="00A56411" w:rsidRDefault="00092F80">
      <w:pPr>
        <w:widowControl/>
        <w:spacing w:before="0" w:after="160" w:line="240" w:lineRule="atLeast"/>
        <w:ind w:left="426"/>
        <w:jc w:val="both"/>
        <w:rPr>
          <w:sz w:val="22"/>
          <w:szCs w:val="22"/>
          <w:lang w:val="en-GB"/>
        </w:rPr>
      </w:pPr>
      <w:r w:rsidRPr="00A56411">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72DE8B79" w14:textId="77777777" w:rsidR="00424962" w:rsidRDefault="00092F80">
      <w:pPr>
        <w:widowControl/>
        <w:spacing w:before="0" w:after="160" w:line="240" w:lineRule="atLeast"/>
        <w:ind w:left="426"/>
        <w:jc w:val="both"/>
        <w:rPr>
          <w:sz w:val="22"/>
          <w:szCs w:val="22"/>
          <w:lang w:val="en-GB"/>
        </w:rPr>
      </w:pPr>
      <w:r w:rsidRPr="00A56411">
        <w:rPr>
          <w:sz w:val="22"/>
          <w:szCs w:val="22"/>
          <w:lang w:val="en-GB"/>
        </w:rPr>
        <w:t>With regard to economic and financial criteria, the entities upon whose capacity the economic operator relies, become jointly and severally liable for the performance of the contract.</w:t>
      </w:r>
    </w:p>
    <w:p w14:paraId="5E998D4D" w14:textId="77777777" w:rsidR="00424962" w:rsidRDefault="00092F80">
      <w:pPr>
        <w:widowControl/>
        <w:spacing w:before="0" w:after="160" w:line="240" w:lineRule="atLeast"/>
        <w:ind w:left="426"/>
        <w:jc w:val="center"/>
        <w:rPr>
          <w:sz w:val="22"/>
          <w:szCs w:val="22"/>
          <w:lang w:val="en-GB"/>
        </w:rPr>
      </w:pPr>
      <w:r>
        <w:rPr>
          <w:sz w:val="22"/>
          <w:szCs w:val="22"/>
          <w:lang w:val="en-GB"/>
        </w:rPr>
        <w:t>*****</w:t>
      </w:r>
    </w:p>
    <w:p w14:paraId="6FCFEAB4" w14:textId="77777777" w:rsidR="00531A26" w:rsidRPr="00E44B24" w:rsidRDefault="00531A26">
      <w:pPr>
        <w:widowControl/>
        <w:spacing w:before="0" w:after="160" w:line="240" w:lineRule="atLeast"/>
        <w:ind w:left="426"/>
        <w:jc w:val="center"/>
        <w:rPr>
          <w:sz w:val="22"/>
          <w:szCs w:val="22"/>
          <w:lang w:val="en-GB"/>
        </w:rPr>
      </w:pPr>
    </w:p>
    <w:p w14:paraId="43CEB5FD" w14:textId="77777777" w:rsidR="00424962" w:rsidRPr="00E44B24" w:rsidRDefault="00092F80">
      <w:pPr>
        <w:widowControl/>
        <w:spacing w:before="0" w:after="360" w:line="240" w:lineRule="atLeast"/>
        <w:ind w:left="425"/>
        <w:jc w:val="both"/>
        <w:rPr>
          <w:sz w:val="22"/>
          <w:szCs w:val="22"/>
          <w:lang w:val="en-GB"/>
        </w:rPr>
      </w:pPr>
      <w:r w:rsidRPr="00E44B24">
        <w:rPr>
          <w:sz w:val="22"/>
          <w:szCs w:val="22"/>
          <w:lang w:val="en-GB"/>
        </w:rPr>
        <w:t>The selection criteria are described in section 12.2 of the instruction to tenderers</w:t>
      </w:r>
    </w:p>
    <w:p w14:paraId="413924DF" w14:textId="77777777" w:rsidR="00531A26" w:rsidRDefault="00531A26">
      <w:pPr>
        <w:widowControl/>
        <w:spacing w:before="0" w:after="120" w:line="240" w:lineRule="atLeast"/>
        <w:ind w:left="426"/>
        <w:jc w:val="center"/>
        <w:rPr>
          <w:sz w:val="22"/>
          <w:szCs w:val="22"/>
          <w:lang w:val="en-GB"/>
        </w:rPr>
      </w:pPr>
      <w:bookmarkStart w:id="5" w:name="_Hlk213151238"/>
      <w:bookmarkEnd w:id="5"/>
    </w:p>
    <w:p w14:paraId="6A4739F4" w14:textId="77777777" w:rsidR="00424962" w:rsidRPr="00472494" w:rsidRDefault="00092F80">
      <w:pPr>
        <w:pStyle w:val="PRAGHeading2"/>
        <w:spacing w:before="240" w:after="120" w:line="240" w:lineRule="atLeast"/>
        <w:ind w:left="425" w:hanging="425"/>
        <w:rPr>
          <w:rStyle w:val="Strong"/>
          <w:sz w:val="22"/>
          <w:szCs w:val="22"/>
          <w:lang w:val="en-GB"/>
        </w:rPr>
      </w:pPr>
      <w:r w:rsidRPr="00472494">
        <w:rPr>
          <w:rStyle w:val="Strong"/>
          <w:sz w:val="22"/>
          <w:szCs w:val="22"/>
          <w:lang w:val="en-GB"/>
        </w:rPr>
        <w:t>Award criteria</w:t>
      </w:r>
    </w:p>
    <w:p w14:paraId="49873D3A" w14:textId="77777777" w:rsidR="00424962" w:rsidRDefault="00092F80">
      <w:pPr>
        <w:widowControl/>
        <w:spacing w:before="0" w:after="120" w:line="240" w:lineRule="atLeast"/>
        <w:ind w:left="426"/>
        <w:rPr>
          <w:rStyle w:val="normaltextrun"/>
          <w:color w:val="000000"/>
          <w:sz w:val="22"/>
          <w:szCs w:val="22"/>
          <w:shd w:val="clear" w:color="auto" w:fill="FFFF00"/>
        </w:rPr>
      </w:pPr>
      <w:r w:rsidRPr="009A45C8">
        <w:rPr>
          <w:rStyle w:val="normaltextrun"/>
          <w:color w:val="000000"/>
          <w:sz w:val="22"/>
          <w:szCs w:val="22"/>
        </w:rPr>
        <w:t xml:space="preserve">The </w:t>
      </w:r>
      <w:r w:rsidRPr="00A56411">
        <w:rPr>
          <w:rStyle w:val="normaltextrun"/>
          <w:color w:val="000000"/>
          <w:sz w:val="22"/>
          <w:szCs w:val="22"/>
        </w:rPr>
        <w:t>most economically advantageous tender is the technically compliant tender with the lowest price.</w:t>
      </w:r>
    </w:p>
    <w:p w14:paraId="6444B003" w14:textId="77777777" w:rsidR="00424962" w:rsidRDefault="00092F80">
      <w:pPr>
        <w:widowControl/>
        <w:spacing w:before="0" w:after="120" w:line="240" w:lineRule="atLeast"/>
        <w:ind w:left="426"/>
        <w:jc w:val="center"/>
        <w:rPr>
          <w:sz w:val="22"/>
          <w:szCs w:val="22"/>
          <w:lang w:val="en-GB"/>
        </w:rPr>
      </w:pPr>
      <w:r>
        <w:rPr>
          <w:sz w:val="22"/>
          <w:szCs w:val="22"/>
          <w:lang w:val="en-GB"/>
        </w:rPr>
        <w:t>*****</w:t>
      </w:r>
    </w:p>
    <w:p w14:paraId="3A214A0B" w14:textId="77777777" w:rsidR="00424962" w:rsidRDefault="00092F80">
      <w:pPr>
        <w:widowControl/>
        <w:spacing w:before="0" w:after="200" w:line="276" w:lineRule="auto"/>
        <w:rPr>
          <w:rStyle w:val="eop"/>
          <w:color w:val="000000"/>
          <w:sz w:val="22"/>
          <w:szCs w:val="22"/>
          <w:shd w:val="clear" w:color="auto" w:fill="FFFFFF"/>
          <w:lang w:val="en-IE"/>
        </w:rPr>
      </w:pPr>
      <w:r>
        <w:br w:type="page"/>
      </w:r>
    </w:p>
    <w:p w14:paraId="2A225181" w14:textId="77777777" w:rsidR="00424962" w:rsidRPr="009A45C8" w:rsidRDefault="00092F80">
      <w:pPr>
        <w:pStyle w:val="PRAGHeading2"/>
        <w:keepNext/>
        <w:widowControl/>
        <w:numPr>
          <w:ilvl w:val="0"/>
          <w:numId w:val="0"/>
        </w:numPr>
        <w:spacing w:before="0" w:after="240" w:line="240" w:lineRule="atLeast"/>
        <w:ind w:left="284"/>
        <w:jc w:val="center"/>
        <w:rPr>
          <w:rStyle w:val="Strong"/>
          <w:sz w:val="22"/>
          <w:szCs w:val="22"/>
          <w:lang w:val="en-IE"/>
        </w:rPr>
      </w:pPr>
      <w:r w:rsidRPr="009A45C8">
        <w:rPr>
          <w:rStyle w:val="Strong"/>
          <w:sz w:val="22"/>
          <w:szCs w:val="22"/>
          <w:lang w:val="en-GB"/>
        </w:rPr>
        <w:lastRenderedPageBreak/>
        <w:t>PARTICIPATION</w:t>
      </w:r>
    </w:p>
    <w:p w14:paraId="30B755DA" w14:textId="56F3E9FD" w:rsidR="00C17BB3" w:rsidRPr="009A45C8" w:rsidRDefault="00A56411" w:rsidP="00A56411">
      <w:pPr>
        <w:pStyle w:val="PRAGHeading2"/>
        <w:numPr>
          <w:ilvl w:val="0"/>
          <w:numId w:val="18"/>
        </w:numPr>
        <w:rPr>
          <w:b/>
          <w:bCs/>
          <w:snapToGrid w:val="0"/>
        </w:rPr>
      </w:pPr>
      <w:r w:rsidRPr="009A45C8">
        <w:rPr>
          <w:b/>
          <w:bCs/>
          <w:snapToGrid w:val="0"/>
        </w:rPr>
        <w:t>How requests to participate may be submitted</w:t>
      </w:r>
    </w:p>
    <w:p w14:paraId="6FEDC106" w14:textId="77777777" w:rsidR="00C17BB3" w:rsidRPr="009A45C8" w:rsidRDefault="00C17BB3" w:rsidP="00C17BB3">
      <w:pPr>
        <w:suppressAutoHyphens w:val="0"/>
        <w:spacing w:before="0" w:after="0" w:line="240" w:lineRule="atLeast"/>
        <w:ind w:left="425"/>
        <w:rPr>
          <w:snapToGrid w:val="0"/>
          <w:lang w:val="en-GB"/>
        </w:rPr>
      </w:pPr>
    </w:p>
    <w:p w14:paraId="6111E8FB" w14:textId="77777777" w:rsidR="00C17BB3" w:rsidRPr="00C17BB3" w:rsidRDefault="00C17BB3" w:rsidP="00C17BB3">
      <w:pPr>
        <w:tabs>
          <w:tab w:val="left" w:pos="426"/>
        </w:tabs>
        <w:suppressAutoHyphens w:val="0"/>
        <w:spacing w:before="0" w:after="120" w:line="240" w:lineRule="atLeast"/>
        <w:ind w:left="426"/>
        <w:jc w:val="both"/>
        <w:rPr>
          <w:snapToGrid w:val="0"/>
          <w:sz w:val="22"/>
          <w:szCs w:val="22"/>
          <w:highlight w:val="yellow"/>
          <w:lang w:val="en-GB"/>
        </w:rPr>
      </w:pPr>
    </w:p>
    <w:p w14:paraId="3DE699F5" w14:textId="2B750501" w:rsidR="00C17BB3" w:rsidRPr="00A56411" w:rsidRDefault="00884B24" w:rsidP="00C17BB3">
      <w:pPr>
        <w:spacing w:before="0" w:after="120" w:line="240" w:lineRule="atLeast"/>
        <w:rPr>
          <w:sz w:val="22"/>
          <w:szCs w:val="22"/>
          <w:lang w:val="en-GB"/>
        </w:rPr>
      </w:pPr>
      <w:r w:rsidRPr="00A56411">
        <w:rPr>
          <w:snapToGrid w:val="0"/>
          <w:sz w:val="22"/>
          <w:szCs w:val="22"/>
          <w:lang w:val="en-GB"/>
        </w:rPr>
        <w:t xml:space="preserve">Requests to participate </w:t>
      </w:r>
      <w:r w:rsidR="00C17BB3" w:rsidRPr="00A56411">
        <w:rPr>
          <w:sz w:val="22"/>
          <w:szCs w:val="22"/>
          <w:lang w:val="en-GB"/>
        </w:rPr>
        <w:t xml:space="preserve"> must be submitted in English exclusively to the contracting authority in a sealed envelope </w:t>
      </w:r>
    </w:p>
    <w:p w14:paraId="52AD2D09" w14:textId="77777777" w:rsidR="00C17BB3" w:rsidRPr="00A56411" w:rsidRDefault="00C17BB3" w:rsidP="00C17BB3">
      <w:pPr>
        <w:numPr>
          <w:ilvl w:val="0"/>
          <w:numId w:val="2"/>
        </w:numPr>
        <w:spacing w:before="0" w:after="120" w:line="240" w:lineRule="atLeast"/>
        <w:rPr>
          <w:sz w:val="22"/>
          <w:szCs w:val="22"/>
          <w:lang w:val="en-GB"/>
        </w:rPr>
      </w:pPr>
      <w:r w:rsidRPr="00A56411">
        <w:rPr>
          <w:sz w:val="22"/>
          <w:szCs w:val="22"/>
          <w:lang w:val="en-GB"/>
        </w:rPr>
        <w:t xml:space="preserve">Either by post or by courier service, in which case the evidence shall be constituted by the postmark or the date of the deposit slip, to: </w:t>
      </w:r>
    </w:p>
    <w:p w14:paraId="634770F8" w14:textId="4BF2F674" w:rsidR="00C17BB3" w:rsidRPr="00040633" w:rsidRDefault="00DD4E5C" w:rsidP="00213D17">
      <w:pPr>
        <w:spacing w:before="0" w:after="120" w:line="240" w:lineRule="atLeast"/>
        <w:ind w:left="709"/>
        <w:rPr>
          <w:rStyle w:val="Emphasis"/>
          <w:i w:val="0"/>
          <w:sz w:val="22"/>
          <w:szCs w:val="22"/>
          <w:lang w:val="en-GB"/>
        </w:rPr>
      </w:pPr>
      <w:bookmarkStart w:id="6" w:name="_Hlk217228275"/>
      <w:r>
        <w:rPr>
          <w:rStyle w:val="Emphasis"/>
          <w:i w:val="0"/>
          <w:sz w:val="22"/>
          <w:szCs w:val="22"/>
          <w:lang w:val="en-GB"/>
        </w:rPr>
        <w:t xml:space="preserve">Culture Centre Pirot </w:t>
      </w:r>
      <w:r w:rsidR="00C17BB3" w:rsidRPr="00A56411">
        <w:rPr>
          <w:rStyle w:val="Emphasis"/>
          <w:i w:val="0"/>
          <w:sz w:val="22"/>
          <w:szCs w:val="22"/>
          <w:lang w:val="en-GB"/>
        </w:rPr>
        <w:t xml:space="preserve">  Srpskih vladara </w:t>
      </w:r>
      <w:r>
        <w:rPr>
          <w:rStyle w:val="Emphasis"/>
          <w:i w:val="0"/>
          <w:sz w:val="22"/>
          <w:szCs w:val="22"/>
          <w:lang w:val="en-GB"/>
        </w:rPr>
        <w:t>77</w:t>
      </w:r>
      <w:r w:rsidRPr="00A56411">
        <w:rPr>
          <w:rStyle w:val="Emphasis"/>
          <w:i w:val="0"/>
          <w:sz w:val="22"/>
          <w:szCs w:val="22"/>
          <w:lang w:val="en-GB"/>
        </w:rPr>
        <w:t xml:space="preserve"> </w:t>
      </w:r>
      <w:r w:rsidR="00C17BB3" w:rsidRPr="00A56411">
        <w:rPr>
          <w:rStyle w:val="Emphasis"/>
          <w:i w:val="0"/>
          <w:sz w:val="22"/>
          <w:szCs w:val="22"/>
          <w:lang w:val="en-GB"/>
        </w:rPr>
        <w:t>Street, 18 300  Pirot, Serbi</w:t>
      </w:r>
      <w:r w:rsidR="00040633">
        <w:rPr>
          <w:rStyle w:val="Emphasis"/>
          <w:i w:val="0"/>
          <w:sz w:val="22"/>
          <w:szCs w:val="22"/>
          <w:lang w:val="en-GB"/>
        </w:rPr>
        <w:t>a</w:t>
      </w:r>
    </w:p>
    <w:p w14:paraId="46C5CC49" w14:textId="51CAA8BC" w:rsidR="00C17BB3" w:rsidRPr="00A56411" w:rsidRDefault="00C17BB3" w:rsidP="00C17BB3">
      <w:pPr>
        <w:spacing w:before="0" w:after="120" w:line="240" w:lineRule="atLeast"/>
        <w:ind w:left="1069"/>
        <w:rPr>
          <w:rStyle w:val="Emphasis"/>
          <w:i w:val="0"/>
          <w:sz w:val="22"/>
          <w:szCs w:val="22"/>
          <w:lang w:val="en-GB"/>
        </w:rPr>
      </w:pPr>
      <w:r w:rsidRPr="00A56411">
        <w:rPr>
          <w:rStyle w:val="Emphasis"/>
          <w:i w:val="0"/>
          <w:sz w:val="22"/>
          <w:szCs w:val="22"/>
          <w:lang w:val="en-GB"/>
        </w:rPr>
        <w:t xml:space="preserve">Contact person: </w:t>
      </w:r>
      <w:r w:rsidR="00DD4E5C">
        <w:rPr>
          <w:rStyle w:val="Emphasis"/>
          <w:i w:val="0"/>
          <w:sz w:val="22"/>
          <w:szCs w:val="22"/>
          <w:lang w:val="en-GB"/>
        </w:rPr>
        <w:t>Mi</w:t>
      </w:r>
      <w:r w:rsidR="00040633">
        <w:rPr>
          <w:rStyle w:val="Emphasis"/>
          <w:i w:val="0"/>
          <w:sz w:val="22"/>
          <w:szCs w:val="22"/>
          <w:lang w:val="en-GB"/>
        </w:rPr>
        <w:t>š</w:t>
      </w:r>
      <w:r w:rsidR="00DD4E5C">
        <w:rPr>
          <w:rStyle w:val="Emphasis"/>
          <w:i w:val="0"/>
          <w:sz w:val="22"/>
          <w:szCs w:val="22"/>
          <w:lang w:val="en-GB"/>
        </w:rPr>
        <w:t xml:space="preserve">ko </w:t>
      </w:r>
      <w:r w:rsidR="00040633">
        <w:rPr>
          <w:rStyle w:val="Emphasis"/>
          <w:i w:val="0"/>
          <w:sz w:val="22"/>
          <w:szCs w:val="22"/>
          <w:lang w:val="en-GB"/>
        </w:rPr>
        <w:t>Ćirić</w:t>
      </w:r>
    </w:p>
    <w:bookmarkEnd w:id="6"/>
    <w:p w14:paraId="2D3ADF77" w14:textId="77777777" w:rsidR="00C17BB3" w:rsidRPr="00A56411" w:rsidRDefault="00C17BB3" w:rsidP="00C17BB3">
      <w:pPr>
        <w:spacing w:before="0" w:after="120" w:line="240" w:lineRule="atLeast"/>
        <w:ind w:left="1069"/>
        <w:rPr>
          <w:rStyle w:val="Emphasis"/>
          <w:i w:val="0"/>
          <w:sz w:val="22"/>
          <w:szCs w:val="22"/>
          <w:lang w:val="en-GB"/>
        </w:rPr>
      </w:pPr>
    </w:p>
    <w:p w14:paraId="469BB4FE" w14:textId="77777777" w:rsidR="00C17BB3" w:rsidRPr="00A56411" w:rsidRDefault="00C17BB3" w:rsidP="00C17BB3">
      <w:pPr>
        <w:numPr>
          <w:ilvl w:val="0"/>
          <w:numId w:val="2"/>
        </w:numPr>
        <w:spacing w:before="0" w:after="120" w:line="240" w:lineRule="atLeast"/>
        <w:rPr>
          <w:sz w:val="22"/>
          <w:szCs w:val="22"/>
          <w:lang w:val="en-GB"/>
        </w:rPr>
      </w:pPr>
      <w:r w:rsidRPr="00A56411">
        <w:rPr>
          <w:rStyle w:val="Emphasis"/>
          <w:i w:val="0"/>
          <w:sz w:val="22"/>
          <w:szCs w:val="22"/>
          <w:lang w:val="en-GB"/>
        </w:rPr>
        <w:t xml:space="preserve"> </w:t>
      </w:r>
      <w:r w:rsidRPr="00A56411">
        <w:rPr>
          <w:sz w:val="22"/>
          <w:szCs w:val="22"/>
          <w:lang w:val="en-GB"/>
        </w:rPr>
        <w:t xml:space="preserve">OR hand delivered by the participant in person or by an agent directly to the premises of the contracting authority in return for a signed and dated receipt, in which case the evidence shall be constituted by this acknowledgement of receipt, to: </w:t>
      </w:r>
    </w:p>
    <w:p w14:paraId="2A06BE17" w14:textId="77777777" w:rsidR="00190DDA" w:rsidRPr="00A56411" w:rsidRDefault="00190DDA" w:rsidP="00190DDA">
      <w:pPr>
        <w:numPr>
          <w:ilvl w:val="0"/>
          <w:numId w:val="2"/>
        </w:numPr>
        <w:spacing w:before="0" w:after="120" w:line="240" w:lineRule="atLeast"/>
        <w:rPr>
          <w:rStyle w:val="Emphasis"/>
          <w:i w:val="0"/>
          <w:sz w:val="22"/>
          <w:szCs w:val="22"/>
          <w:lang w:val="en-GB"/>
        </w:rPr>
      </w:pPr>
      <w:r>
        <w:rPr>
          <w:rStyle w:val="Emphasis"/>
          <w:i w:val="0"/>
          <w:sz w:val="22"/>
          <w:szCs w:val="22"/>
          <w:lang w:val="en-GB"/>
        </w:rPr>
        <w:t xml:space="preserve">Culture Centre Pirot </w:t>
      </w:r>
      <w:r w:rsidRPr="00A56411">
        <w:rPr>
          <w:rStyle w:val="Emphasis"/>
          <w:i w:val="0"/>
          <w:sz w:val="22"/>
          <w:szCs w:val="22"/>
          <w:lang w:val="en-GB"/>
        </w:rPr>
        <w:t xml:space="preserve">  Srpskih vladara </w:t>
      </w:r>
      <w:r>
        <w:rPr>
          <w:rStyle w:val="Emphasis"/>
          <w:i w:val="0"/>
          <w:sz w:val="22"/>
          <w:szCs w:val="22"/>
          <w:lang w:val="en-GB"/>
        </w:rPr>
        <w:t>77</w:t>
      </w:r>
      <w:r w:rsidRPr="00A56411">
        <w:rPr>
          <w:rStyle w:val="Emphasis"/>
          <w:i w:val="0"/>
          <w:sz w:val="22"/>
          <w:szCs w:val="22"/>
          <w:lang w:val="en-GB"/>
        </w:rPr>
        <w:t xml:space="preserve"> Street, 18 300  Pirot, Serbia</w:t>
      </w:r>
    </w:p>
    <w:p w14:paraId="5FB74993" w14:textId="77777777" w:rsidR="00190DDA" w:rsidRPr="00A56411" w:rsidRDefault="00190DDA" w:rsidP="00190DDA">
      <w:pPr>
        <w:spacing w:before="0" w:after="120" w:line="240" w:lineRule="atLeast"/>
        <w:ind w:left="1069"/>
        <w:rPr>
          <w:rStyle w:val="Emphasis"/>
          <w:i w:val="0"/>
          <w:sz w:val="22"/>
          <w:szCs w:val="22"/>
          <w:lang w:val="en-GB"/>
        </w:rPr>
      </w:pPr>
      <w:r w:rsidRPr="00A56411">
        <w:rPr>
          <w:rStyle w:val="Emphasis"/>
          <w:i w:val="0"/>
          <w:sz w:val="22"/>
          <w:szCs w:val="22"/>
          <w:lang w:val="en-GB"/>
        </w:rPr>
        <w:t xml:space="preserve"> </w:t>
      </w:r>
      <w:r>
        <w:rPr>
          <w:rStyle w:val="Emphasis"/>
          <w:i w:val="0"/>
          <w:sz w:val="22"/>
          <w:szCs w:val="22"/>
          <w:lang w:val="en-GB"/>
        </w:rPr>
        <w:t xml:space="preserve">Opening </w:t>
      </w:r>
      <w:r w:rsidRPr="00A56411">
        <w:rPr>
          <w:rStyle w:val="Emphasis"/>
          <w:i w:val="0"/>
          <w:sz w:val="22"/>
          <w:szCs w:val="22"/>
          <w:lang w:val="en-GB"/>
        </w:rPr>
        <w:t xml:space="preserve">hours </w:t>
      </w:r>
      <w:r>
        <w:rPr>
          <w:rStyle w:val="Emphasis"/>
          <w:i w:val="0"/>
          <w:sz w:val="22"/>
          <w:szCs w:val="22"/>
          <w:lang w:val="en-GB"/>
        </w:rPr>
        <w:t>08-14 00</w:t>
      </w:r>
      <w:r w:rsidRPr="00A56411">
        <w:rPr>
          <w:rStyle w:val="Emphasis"/>
          <w:i w:val="0"/>
          <w:sz w:val="22"/>
          <w:szCs w:val="22"/>
          <w:lang w:val="en-GB"/>
        </w:rPr>
        <w:t>.00 pm. local time ,  Monday-Friday</w:t>
      </w:r>
    </w:p>
    <w:p w14:paraId="77CBFDDB" w14:textId="77777777" w:rsidR="00C17BB3" w:rsidRPr="00A56411" w:rsidRDefault="00C17BB3" w:rsidP="00C17BB3">
      <w:pPr>
        <w:pStyle w:val="Blockquote"/>
        <w:spacing w:before="0" w:after="240" w:line="240" w:lineRule="atLeast"/>
        <w:ind w:left="426" w:right="357"/>
      </w:pPr>
      <w:r w:rsidRPr="00A56411">
        <w:rPr>
          <w:sz w:val="22"/>
          <w:szCs w:val="22"/>
          <w:lang w:val="en-GB"/>
        </w:rPr>
        <w:t xml:space="preserve">The contract title and publication reference (see contract notice) must be clearly marked on the envelope containing the request to participate and must always be mentioned in all subsequent correspondence with the contracting authority. </w:t>
      </w:r>
    </w:p>
    <w:p w14:paraId="334D8E7D" w14:textId="1DB2E393" w:rsidR="00424962" w:rsidRDefault="00C17BB3" w:rsidP="00757D1A">
      <w:pPr>
        <w:tabs>
          <w:tab w:val="left" w:pos="426"/>
        </w:tabs>
        <w:spacing w:before="0" w:after="120" w:line="240" w:lineRule="atLeast"/>
        <w:jc w:val="both"/>
        <w:rPr>
          <w:rStyle w:val="Strong"/>
          <w:b w:val="0"/>
          <w:sz w:val="22"/>
          <w:szCs w:val="22"/>
          <w:highlight w:val="yellow"/>
          <w:lang w:val="en-GB"/>
        </w:rPr>
      </w:pPr>
      <w:r w:rsidRPr="00A56411">
        <w:rPr>
          <w:sz w:val="22"/>
          <w:szCs w:val="22"/>
          <w:lang w:val="en-GB"/>
        </w:rPr>
        <w:t>Applications  submitted by any other means will not be considered</w:t>
      </w:r>
    </w:p>
    <w:p w14:paraId="41600FFA" w14:textId="77777777" w:rsidR="00424962" w:rsidRDefault="00424962">
      <w:pPr>
        <w:tabs>
          <w:tab w:val="left" w:pos="426"/>
        </w:tabs>
        <w:spacing w:before="0" w:after="120" w:line="240" w:lineRule="atLeast"/>
        <w:ind w:left="426"/>
        <w:jc w:val="both"/>
        <w:rPr>
          <w:b/>
          <w:sz w:val="22"/>
          <w:szCs w:val="22"/>
          <w:highlight w:val="lightGray"/>
          <w:lang w:val="en-GB"/>
        </w:rPr>
      </w:pPr>
      <w:bookmarkStart w:id="7" w:name="_Hlk184633856"/>
      <w:bookmarkEnd w:id="7"/>
    </w:p>
    <w:p w14:paraId="102707A7" w14:textId="1F972945" w:rsidR="00C17BB3" w:rsidRPr="000E7897" w:rsidRDefault="00884B24" w:rsidP="00C17BB3">
      <w:pPr>
        <w:tabs>
          <w:tab w:val="num" w:pos="426"/>
        </w:tabs>
        <w:suppressAutoHyphens w:val="0"/>
        <w:spacing w:before="240" w:after="120" w:line="240" w:lineRule="atLeast"/>
        <w:ind w:left="567" w:hanging="567"/>
        <w:rPr>
          <w:sz w:val="22"/>
          <w:lang w:val="en-GB"/>
        </w:rPr>
      </w:pPr>
      <w:r>
        <w:rPr>
          <w:b/>
          <w:snapToGrid w:val="0"/>
          <w:highlight w:val="lightGray"/>
          <w:lang w:val="en-GB"/>
        </w:rPr>
        <w:t>20</w:t>
      </w:r>
      <w:r w:rsidRPr="000E7897">
        <w:rPr>
          <w:b/>
          <w:snapToGrid w:val="0"/>
          <w:lang w:val="en-GB"/>
        </w:rPr>
        <w:t>.</w:t>
      </w:r>
      <w:r w:rsidR="00C17BB3" w:rsidRPr="000E7897">
        <w:rPr>
          <w:b/>
          <w:snapToGrid w:val="0"/>
          <w:lang w:val="en-GB"/>
        </w:rPr>
        <w:t>Deadline for submission of requests to participate</w:t>
      </w:r>
      <w:r w:rsidR="00C17BB3" w:rsidRPr="000E7897" w:rsidDel="002F1DF5">
        <w:rPr>
          <w:sz w:val="22"/>
          <w:lang w:val="en-GB"/>
        </w:rPr>
        <w:t xml:space="preserve"> </w:t>
      </w:r>
    </w:p>
    <w:p w14:paraId="12AA75F3" w14:textId="77777777" w:rsidR="00C17BB3" w:rsidRPr="000E7897" w:rsidRDefault="00C17BB3" w:rsidP="00C17BB3">
      <w:pPr>
        <w:suppressAutoHyphens w:val="0"/>
        <w:spacing w:before="0" w:after="120" w:line="240" w:lineRule="atLeast"/>
        <w:ind w:left="426"/>
        <w:jc w:val="both"/>
        <w:rPr>
          <w:snapToGrid w:val="0"/>
          <w:lang w:val="en-IE"/>
        </w:rPr>
      </w:pPr>
      <w:r w:rsidRPr="000E7897">
        <w:rPr>
          <w:iCs/>
          <w:snapToGrid w:val="0"/>
          <w:sz w:val="22"/>
          <w:szCs w:val="22"/>
          <w:lang w:val="en-GB"/>
        </w:rPr>
        <w:t>The candidate’s attention is drawn to the fact that there are two different systems for sending requests to participate: one is by post or private mail service, the other is by hand delivery.</w:t>
      </w:r>
    </w:p>
    <w:p w14:paraId="307BAF77" w14:textId="77777777" w:rsidR="00C17BB3" w:rsidRPr="000E7897" w:rsidRDefault="00C17BB3" w:rsidP="00C17BB3">
      <w:pPr>
        <w:suppressAutoHyphens w:val="0"/>
        <w:spacing w:before="0" w:after="120" w:line="240" w:lineRule="atLeast"/>
        <w:ind w:left="426"/>
        <w:jc w:val="both"/>
        <w:rPr>
          <w:iCs/>
          <w:snapToGrid w:val="0"/>
          <w:sz w:val="22"/>
          <w:szCs w:val="22"/>
          <w:lang w:val="en-GB"/>
        </w:rPr>
      </w:pPr>
      <w:r w:rsidRPr="000E7897">
        <w:rPr>
          <w:iCs/>
          <w:snapToGrid w:val="0"/>
          <w:sz w:val="22"/>
          <w:szCs w:val="22"/>
          <w:lang w:val="en-GB"/>
        </w:rPr>
        <w:t>In the first case, the request to participate must be sent before the date and time-limit for submission, as evidenced by the postmark or deposit slip</w:t>
      </w:r>
      <w:r w:rsidRPr="000E7897">
        <w:rPr>
          <w:iCs/>
          <w:snapToGrid w:val="0"/>
          <w:sz w:val="22"/>
          <w:szCs w:val="22"/>
          <w:vertAlign w:val="superscript"/>
          <w:lang w:val="en-GB"/>
        </w:rPr>
        <w:footnoteReference w:id="2"/>
      </w:r>
      <w:r w:rsidRPr="000E7897">
        <w:rPr>
          <w:iCs/>
          <w:snapToGrid w:val="0"/>
          <w:sz w:val="22"/>
          <w:szCs w:val="22"/>
          <w:lang w:val="en-GB"/>
        </w:rPr>
        <w:t>, but in the second case it is the acknowledgment of receipt given at the time of the delivery of the request to participate that will serve as proof.</w:t>
      </w:r>
    </w:p>
    <w:p w14:paraId="140726F3" w14:textId="77777777" w:rsidR="00C17BB3" w:rsidRPr="000E7897" w:rsidRDefault="00C17BB3" w:rsidP="00C17BB3">
      <w:pPr>
        <w:suppressAutoHyphens w:val="0"/>
        <w:spacing w:beforeLines="120" w:before="288" w:afterLines="60" w:after="144" w:line="240" w:lineRule="atLeast"/>
        <w:ind w:left="426"/>
        <w:jc w:val="both"/>
        <w:rPr>
          <w:iCs/>
          <w:snapToGrid w:val="0"/>
          <w:sz w:val="22"/>
          <w:szCs w:val="22"/>
          <w:lang w:val="en-GB"/>
        </w:rPr>
      </w:pPr>
      <w:r w:rsidRPr="000E7897">
        <w:rPr>
          <w:b/>
          <w:iCs/>
          <w:snapToGrid w:val="0"/>
          <w:sz w:val="22"/>
          <w:szCs w:val="22"/>
          <w:lang w:val="en-GB"/>
        </w:rPr>
        <w:t>The deadline for submission of requests to participate can be found in the contract notice</w:t>
      </w:r>
      <w:r w:rsidRPr="000E7897">
        <w:rPr>
          <w:snapToGrid w:val="0"/>
          <w:sz w:val="22"/>
          <w:szCs w:val="22"/>
          <w:lang w:val="en-GB"/>
        </w:rPr>
        <w:t>.</w:t>
      </w:r>
    </w:p>
    <w:p w14:paraId="281A0946" w14:textId="3383E8CC" w:rsidR="00424962" w:rsidRDefault="00C17BB3" w:rsidP="000E7897">
      <w:pPr>
        <w:suppressAutoHyphens w:val="0"/>
        <w:spacing w:beforeLines="120" w:before="288" w:afterLines="60" w:after="144" w:line="240" w:lineRule="atLeast"/>
        <w:ind w:left="426"/>
        <w:jc w:val="both"/>
        <w:rPr>
          <w:sz w:val="22"/>
          <w:szCs w:val="22"/>
          <w:lang w:val="en-GB"/>
        </w:rPr>
      </w:pPr>
      <w:r w:rsidRPr="000E7897">
        <w:rPr>
          <w:iCs/>
          <w:snapToGrid w:val="0"/>
          <w:sz w:val="22"/>
          <w:szCs w:val="22"/>
          <w:lang w:val="en-GB"/>
        </w:rPr>
        <w:t xml:space="preserve">Any request to participate sent to the contracting authority after this deadline will not be considered. </w:t>
      </w:r>
      <w:r w:rsidRPr="000E7897">
        <w:rPr>
          <w:iCs/>
          <w:snapToGrid w:val="0"/>
          <w:sz w:val="22"/>
          <w:szCs w:val="22"/>
          <w:lang w:val="en-IE"/>
        </w:rPr>
        <w:t>The contracting authority may, for reasons of administrative efficiency, reject any request for participation submitted on time but received, for any reason beyond the contracting authority's control, after the effective date of approval of the short-list report, if accepting requests to participate that were submitted on time but arrived late would considerably delay the evaluation procedure or jeopardise</w:t>
      </w:r>
      <w:r w:rsidRPr="000E7897">
        <w:rPr>
          <w:snapToGrid w:val="0"/>
          <w:sz w:val="22"/>
          <w:szCs w:val="22"/>
          <w:lang w:val="en-GB"/>
        </w:rPr>
        <w:t xml:space="preserve"> decisions already taken and notified</w:t>
      </w:r>
    </w:p>
    <w:p w14:paraId="5BF0792B" w14:textId="77777777" w:rsidR="00884B24" w:rsidRDefault="00884B24">
      <w:pPr>
        <w:spacing w:before="288" w:after="144" w:line="240" w:lineRule="atLeast"/>
        <w:ind w:left="426"/>
        <w:jc w:val="both"/>
      </w:pPr>
    </w:p>
    <w:p w14:paraId="09E299A6" w14:textId="41DD6D4B" w:rsidR="00424962" w:rsidRPr="00884B24" w:rsidRDefault="00884B24" w:rsidP="00884B24">
      <w:pPr>
        <w:pStyle w:val="PRAGHeading2"/>
        <w:numPr>
          <w:ilvl w:val="0"/>
          <w:numId w:val="0"/>
        </w:numPr>
      </w:pPr>
      <w:r>
        <w:rPr>
          <w:rStyle w:val="Strong"/>
          <w:sz w:val="22"/>
          <w:szCs w:val="22"/>
          <w:lang w:val="en-GB"/>
        </w:rPr>
        <w:t>21.</w:t>
      </w:r>
      <w:r w:rsidR="00092F80">
        <w:rPr>
          <w:rStyle w:val="Strong"/>
          <w:sz w:val="22"/>
          <w:szCs w:val="22"/>
          <w:lang w:val="en-GB"/>
        </w:rPr>
        <w:t>Clarifications on the contract notice</w:t>
      </w:r>
    </w:p>
    <w:p w14:paraId="34D0DD9A" w14:textId="0C588553" w:rsidR="0091674A" w:rsidRDefault="00092F80">
      <w:pPr>
        <w:pStyle w:val="PRAGHeading2"/>
        <w:numPr>
          <w:ilvl w:val="0"/>
          <w:numId w:val="0"/>
        </w:numPr>
        <w:ind w:left="426"/>
        <w:jc w:val="both"/>
        <w:rPr>
          <w:sz w:val="22"/>
          <w:szCs w:val="22"/>
        </w:rPr>
      </w:pPr>
      <w:r>
        <w:rPr>
          <w:sz w:val="22"/>
          <w:szCs w:val="22"/>
          <w:lang w:val="en-GB"/>
        </w:rPr>
        <w:t xml:space="preserve">Any Clarifications will be </w:t>
      </w:r>
      <w:r>
        <w:rPr>
          <w:sz w:val="22"/>
          <w:szCs w:val="22"/>
          <w:lang w:val="en-IE"/>
        </w:rPr>
        <w:t xml:space="preserve">published on </w:t>
      </w:r>
      <w:hyperlink r:id="rId9">
        <w:r w:rsidR="00190DDA">
          <w:rPr>
            <w:rStyle w:val="Hyperlink"/>
            <w:sz w:val="22"/>
            <w:szCs w:val="22"/>
            <w:lang w:val="en-IE"/>
          </w:rPr>
          <w:t>www.dkpirot.rs</w:t>
        </w:r>
      </w:hyperlink>
      <w:r>
        <w:rPr>
          <w:sz w:val="22"/>
          <w:szCs w:val="22"/>
          <w:lang w:val="en-IE"/>
        </w:rPr>
        <w:t xml:space="preserve">  and </w:t>
      </w:r>
      <w:hyperlink r:id="rId10" w:history="1">
        <w:r w:rsidR="0091674A" w:rsidRPr="007D00FE">
          <w:rPr>
            <w:rStyle w:val="Hyperlink"/>
          </w:rPr>
          <w:t>https://ipa-bgrs.mrrb.bg/en/term/9</w:t>
        </w:r>
      </w:hyperlink>
      <w:r>
        <w:rPr>
          <w:sz w:val="22"/>
          <w:szCs w:val="22"/>
          <w:lang w:val="en-GB"/>
        </w:rPr>
        <w:t>.</w:t>
      </w:r>
      <w:r>
        <w:rPr>
          <w:sz w:val="22"/>
          <w:szCs w:val="22"/>
        </w:rPr>
        <w:t>.</w:t>
      </w:r>
    </w:p>
    <w:p w14:paraId="3A2C7375" w14:textId="61B69722" w:rsidR="000E7897" w:rsidRDefault="00092F80">
      <w:pPr>
        <w:pStyle w:val="PRAGHeading2"/>
        <w:numPr>
          <w:ilvl w:val="0"/>
          <w:numId w:val="0"/>
        </w:numPr>
        <w:ind w:left="426"/>
        <w:jc w:val="both"/>
        <w:rPr>
          <w:sz w:val="22"/>
          <w:szCs w:val="22"/>
          <w:lang w:val="en-GB"/>
        </w:rPr>
      </w:pPr>
      <w:r>
        <w:rPr>
          <w:sz w:val="22"/>
          <w:szCs w:val="22"/>
          <w:lang w:val="en-IE"/>
        </w:rPr>
        <w:t xml:space="preserve">websites </w:t>
      </w:r>
      <w:r>
        <w:rPr>
          <w:sz w:val="22"/>
          <w:szCs w:val="22"/>
          <w:lang w:val="en-GB"/>
        </w:rPr>
        <w:t xml:space="preserve">at the latest 8 days before the deadline for the submission of applications. The website </w:t>
      </w:r>
      <w:r>
        <w:rPr>
          <w:sz w:val="22"/>
          <w:szCs w:val="22"/>
          <w:lang w:val="en-GB"/>
        </w:rPr>
        <w:lastRenderedPageBreak/>
        <w:t>will be updated regularly and it is the applicants responsibility to check for updates and modifications during the submission period.</w:t>
      </w:r>
    </w:p>
    <w:p w14:paraId="71F80812" w14:textId="77777777" w:rsidR="00040633" w:rsidRDefault="00040633" w:rsidP="00040633">
      <w:pPr>
        <w:pStyle w:val="PRAGHeading2"/>
        <w:numPr>
          <w:ilvl w:val="0"/>
          <w:numId w:val="0"/>
        </w:numPr>
        <w:jc w:val="both"/>
      </w:pPr>
    </w:p>
    <w:p w14:paraId="42FAB5E0" w14:textId="432B2E9B" w:rsidR="00424962" w:rsidRPr="00884B24" w:rsidRDefault="000E7897" w:rsidP="000E7897">
      <w:pPr>
        <w:pStyle w:val="PRAGHeading2"/>
        <w:numPr>
          <w:ilvl w:val="0"/>
          <w:numId w:val="0"/>
        </w:numPr>
        <w:jc w:val="both"/>
        <w:rPr>
          <w:rStyle w:val="Strong"/>
          <w:b w:val="0"/>
        </w:rPr>
      </w:pPr>
      <w:r>
        <w:rPr>
          <w:rStyle w:val="Strong"/>
          <w:sz w:val="22"/>
          <w:szCs w:val="22"/>
          <w:lang w:val="en-GB"/>
        </w:rPr>
        <w:t xml:space="preserve"> 22. </w:t>
      </w:r>
      <w:r w:rsidR="00092F80" w:rsidRPr="00884B24">
        <w:rPr>
          <w:rStyle w:val="Strong"/>
          <w:sz w:val="22"/>
          <w:szCs w:val="22"/>
          <w:lang w:val="en-GB"/>
        </w:rPr>
        <w:t>Outcome of the evaluation</w:t>
      </w:r>
    </w:p>
    <w:p w14:paraId="545FB8B1" w14:textId="77777777" w:rsidR="00884B24" w:rsidRDefault="00884B24" w:rsidP="00884B24">
      <w:pPr>
        <w:pStyle w:val="PRAGHeading2"/>
        <w:numPr>
          <w:ilvl w:val="0"/>
          <w:numId w:val="0"/>
        </w:numPr>
        <w:spacing w:before="240" w:after="120" w:line="240" w:lineRule="atLeast"/>
        <w:ind w:left="567"/>
        <w:jc w:val="both"/>
      </w:pPr>
    </w:p>
    <w:p w14:paraId="272039DA" w14:textId="261533A4" w:rsidR="00424962" w:rsidRDefault="00092F80">
      <w:pPr>
        <w:pStyle w:val="PRAGHeading2"/>
        <w:numPr>
          <w:ilvl w:val="0"/>
          <w:numId w:val="0"/>
        </w:numPr>
        <w:spacing w:before="0" w:after="120" w:line="240" w:lineRule="atLeast"/>
        <w:ind w:left="426"/>
        <w:jc w:val="both"/>
      </w:pPr>
      <w:r>
        <w:rPr>
          <w:sz w:val="22"/>
          <w:szCs w:val="22"/>
          <w:lang w:val="en-GB"/>
        </w:rPr>
        <w:t>By submitting a request to participate candidates accept to receive notification of the outcome of the procedure by electronic means. Such notification shall be deemed to have been received on the date upon which the contracting authority sends it to the electronic address referred to in the request to participate form.</w:t>
      </w:r>
    </w:p>
    <w:p w14:paraId="1A58341E" w14:textId="2C6FB43F" w:rsidR="00424962" w:rsidRDefault="000E7897" w:rsidP="000E7897">
      <w:pPr>
        <w:pStyle w:val="PRAGHeading2"/>
        <w:numPr>
          <w:ilvl w:val="0"/>
          <w:numId w:val="0"/>
        </w:numPr>
        <w:spacing w:before="240" w:after="120" w:line="240" w:lineRule="atLeast"/>
        <w:jc w:val="both"/>
      </w:pPr>
      <w:r>
        <w:rPr>
          <w:rStyle w:val="Strong"/>
          <w:sz w:val="22"/>
          <w:szCs w:val="22"/>
          <w:lang w:val="en-GB"/>
        </w:rPr>
        <w:t xml:space="preserve">23. </w:t>
      </w:r>
      <w:r w:rsidR="00A56411">
        <w:rPr>
          <w:rStyle w:val="Strong"/>
          <w:sz w:val="22"/>
          <w:szCs w:val="22"/>
          <w:lang w:val="en-GB"/>
        </w:rPr>
        <w:t>Alteration</w:t>
      </w:r>
      <w:r w:rsidR="00092F80">
        <w:rPr>
          <w:rStyle w:val="Strong"/>
          <w:sz w:val="22"/>
          <w:szCs w:val="22"/>
          <w:lang w:val="en-GB"/>
        </w:rPr>
        <w:t xml:space="preserve"> or withdrawal of requests to participate</w:t>
      </w:r>
    </w:p>
    <w:p w14:paraId="44D42728" w14:textId="77777777" w:rsidR="00424962" w:rsidRDefault="00092F80">
      <w:pPr>
        <w:spacing w:before="0" w:after="120" w:line="240" w:lineRule="atLeast"/>
        <w:ind w:left="426"/>
        <w:jc w:val="both"/>
      </w:pPr>
      <w:r>
        <w:rPr>
          <w:sz w:val="22"/>
          <w:szCs w:val="22"/>
          <w:lang w:val="en-GB"/>
        </w:rPr>
        <w:t xml:space="preserve">Candidates may alter or withdraw their requests to participate by written notification prior to the deadline for submission of requests to participate. No requests to participate may be altered after this deadline. </w:t>
      </w:r>
    </w:p>
    <w:p w14:paraId="19EF1595" w14:textId="77777777" w:rsidR="00424962" w:rsidRDefault="00092F80">
      <w:pPr>
        <w:spacing w:before="0" w:after="120" w:line="240" w:lineRule="atLeast"/>
        <w:ind w:left="426"/>
        <w:jc w:val="both"/>
      </w:pPr>
      <w:r>
        <w:rPr>
          <w:sz w:val="22"/>
          <w:szCs w:val="22"/>
          <w:lang w:val="en-GB"/>
        </w:rPr>
        <w:t>Any such notification of alteration or withdrawal shall be prepared and submitted in accordance with precedent item. The outer envelope (and the relevant inner envelope if used) must be marked ‘Alteration’ or ‘Withdrawal’ as appropriate.</w:t>
      </w:r>
    </w:p>
    <w:p w14:paraId="041BA5C3" w14:textId="77777777" w:rsidR="00424962" w:rsidRDefault="00092F80">
      <w:pPr>
        <w:spacing w:before="720" w:after="120" w:line="240" w:lineRule="atLeast"/>
        <w:jc w:val="center"/>
        <w:rPr>
          <w:i/>
          <w:lang w:val="en-GB"/>
        </w:rPr>
      </w:pPr>
      <w:r>
        <w:rPr>
          <w:b/>
          <w:bCs/>
          <w:sz w:val="22"/>
          <w:szCs w:val="22"/>
          <w:lang w:val="en-GB"/>
        </w:rPr>
        <w:t>***</w:t>
      </w:r>
    </w:p>
    <w:sectPr w:rsidR="00424962">
      <w:headerReference w:type="even" r:id="rId11"/>
      <w:headerReference w:type="default" r:id="rId12"/>
      <w:footerReference w:type="even" r:id="rId13"/>
      <w:footerReference w:type="default" r:id="rId14"/>
      <w:headerReference w:type="first" r:id="rId15"/>
      <w:footerReference w:type="first" r:id="rId16"/>
      <w:pgSz w:w="11906" w:h="16838"/>
      <w:pgMar w:top="1134" w:right="1417" w:bottom="1417" w:left="1417"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0589E" w14:textId="77777777" w:rsidR="006E6F56" w:rsidRDefault="006E6F56">
      <w:pPr>
        <w:spacing w:before="0" w:after="0"/>
      </w:pPr>
      <w:r>
        <w:separator/>
      </w:r>
    </w:p>
  </w:endnote>
  <w:endnote w:type="continuationSeparator" w:id="0">
    <w:p w14:paraId="45F5C826" w14:textId="77777777" w:rsidR="006E6F56" w:rsidRDefault="006E6F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94B1" w14:textId="77777777" w:rsidR="007230D3" w:rsidRDefault="007230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D55E8" w14:textId="77777777" w:rsidR="00424962" w:rsidRDefault="00092F80">
    <w:pPr>
      <w:pStyle w:val="Footer"/>
      <w:tabs>
        <w:tab w:val="clear" w:pos="4536"/>
      </w:tabs>
      <w:rPr>
        <w:b/>
        <w:sz w:val="18"/>
        <w:szCs w:val="18"/>
        <w:lang w:val="en-IE"/>
      </w:rPr>
    </w:pPr>
    <w:r>
      <w:rPr>
        <w:b/>
        <w:sz w:val="18"/>
        <w:szCs w:val="18"/>
        <w:lang w:val="en-IE"/>
      </w:rPr>
      <w:t>2025</w:t>
    </w:r>
    <w:r>
      <w:rPr>
        <w:bCs/>
        <w:sz w:val="18"/>
        <w:szCs w:val="18"/>
        <w:lang w:val="en-IE"/>
      </w:rPr>
      <w:tab/>
      <w:t xml:space="preserve">Page </w:t>
    </w:r>
    <w:r>
      <w:rPr>
        <w:bCs/>
        <w:sz w:val="18"/>
        <w:szCs w:val="18"/>
        <w:lang w:val="en-GB"/>
      </w:rPr>
      <w:fldChar w:fldCharType="begin"/>
    </w:r>
    <w:r>
      <w:rPr>
        <w:bCs/>
        <w:sz w:val="18"/>
        <w:szCs w:val="18"/>
        <w:lang w:val="en-GB"/>
      </w:rPr>
      <w:instrText>PAGE</w:instrText>
    </w:r>
    <w:r>
      <w:rPr>
        <w:bCs/>
        <w:sz w:val="18"/>
        <w:szCs w:val="18"/>
        <w:lang w:val="en-GB"/>
      </w:rPr>
      <w:fldChar w:fldCharType="separate"/>
    </w:r>
    <w:r>
      <w:rPr>
        <w:bCs/>
        <w:sz w:val="18"/>
        <w:szCs w:val="18"/>
        <w:lang w:val="en-GB"/>
      </w:rPr>
      <w:t>7</w:t>
    </w:r>
    <w:r>
      <w:rPr>
        <w:bCs/>
        <w:sz w:val="18"/>
        <w:szCs w:val="18"/>
        <w:lang w:val="en-GB"/>
      </w:rPr>
      <w:fldChar w:fldCharType="end"/>
    </w:r>
    <w:r>
      <w:rPr>
        <w:bCs/>
        <w:sz w:val="18"/>
        <w:szCs w:val="18"/>
        <w:lang w:val="en-GB"/>
      </w:rPr>
      <w:t xml:space="preserve"> of </w:t>
    </w:r>
    <w:r>
      <w:rPr>
        <w:bCs/>
        <w:sz w:val="18"/>
        <w:szCs w:val="18"/>
        <w:lang w:val="en-GB"/>
      </w:rPr>
      <w:fldChar w:fldCharType="begin"/>
    </w:r>
    <w:r>
      <w:rPr>
        <w:bCs/>
        <w:sz w:val="18"/>
        <w:szCs w:val="18"/>
        <w:lang w:val="en-GB"/>
      </w:rPr>
      <w:instrText>NUMPAGES</w:instrText>
    </w:r>
    <w:r>
      <w:rPr>
        <w:bCs/>
        <w:sz w:val="18"/>
        <w:szCs w:val="18"/>
        <w:lang w:val="en-GB"/>
      </w:rPr>
      <w:fldChar w:fldCharType="separate"/>
    </w:r>
    <w:r>
      <w:rPr>
        <w:bCs/>
        <w:sz w:val="18"/>
        <w:szCs w:val="18"/>
        <w:lang w:val="en-GB"/>
      </w:rPr>
      <w:t>7</w:t>
    </w:r>
    <w:r>
      <w:rPr>
        <w:bCs/>
        <w:sz w:val="18"/>
        <w:szCs w:val="18"/>
        <w:lang w:val="en-GB"/>
      </w:rPr>
      <w:fldChar w:fldCharType="end"/>
    </w:r>
  </w:p>
  <w:p w14:paraId="5C957228" w14:textId="69989806" w:rsidR="00424962" w:rsidRDefault="00092F80">
    <w:pPr>
      <w:pStyle w:val="Footer"/>
      <w:tabs>
        <w:tab w:val="clear" w:pos="4536"/>
      </w:tabs>
      <w:rPr>
        <w:bCs/>
        <w:sz w:val="18"/>
        <w:szCs w:val="18"/>
        <w:lang w:val="en-GB"/>
      </w:rPr>
    </w:pPr>
    <w:r>
      <w:rPr>
        <w:bCs/>
        <w:sz w:val="18"/>
        <w:szCs w:val="18"/>
        <w:lang w:val="fr-BE"/>
      </w:rPr>
      <w:fldChar w:fldCharType="begin"/>
    </w:r>
    <w:r>
      <w:rPr>
        <w:bCs/>
        <w:sz w:val="18"/>
        <w:szCs w:val="18"/>
        <w:lang w:val="fr-BE"/>
      </w:rPr>
      <w:instrText>FILENAME</w:instrText>
    </w:r>
    <w:r>
      <w:rPr>
        <w:bCs/>
        <w:sz w:val="18"/>
        <w:szCs w:val="18"/>
        <w:lang w:val="fr-BE"/>
      </w:rPr>
      <w:fldChar w:fldCharType="separate"/>
    </w:r>
    <w:r w:rsidR="007230D3">
      <w:rPr>
        <w:bCs/>
        <w:noProof/>
        <w:sz w:val="18"/>
        <w:szCs w:val="18"/>
        <w:lang w:val="fr-BE"/>
      </w:rPr>
      <w:t>a5f_additional_information_contract_notice</w:t>
    </w:r>
    <w:r>
      <w:rPr>
        <w:bCs/>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BB976" w14:textId="77777777" w:rsidR="007230D3" w:rsidRDefault="00723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0BC02" w14:textId="77777777" w:rsidR="006E6F56" w:rsidRDefault="006E6F56">
      <w:pPr>
        <w:rPr>
          <w:sz w:val="12"/>
        </w:rPr>
      </w:pPr>
      <w:r>
        <w:separator/>
      </w:r>
    </w:p>
  </w:footnote>
  <w:footnote w:type="continuationSeparator" w:id="0">
    <w:p w14:paraId="1D6D3891" w14:textId="77777777" w:rsidR="006E6F56" w:rsidRDefault="006E6F56">
      <w:pPr>
        <w:rPr>
          <w:sz w:val="12"/>
        </w:rPr>
      </w:pPr>
      <w:r>
        <w:continuationSeparator/>
      </w:r>
    </w:p>
  </w:footnote>
  <w:footnote w:id="1">
    <w:p w14:paraId="7063BC20" w14:textId="77777777" w:rsidR="00424962" w:rsidRDefault="00092F80">
      <w:pPr>
        <w:pStyle w:val="FootnoteText"/>
        <w:ind w:left="284" w:hanging="284"/>
        <w:jc w:val="both"/>
      </w:pPr>
      <w:r>
        <w:rPr>
          <w:rStyle w:val="FootnoteCharacters"/>
        </w:rPr>
        <w:footnoteRef/>
      </w:r>
      <w:r>
        <w:rPr>
          <w:sz w:val="18"/>
          <w:szCs w:val="18"/>
        </w:rPr>
        <w:tab/>
        <w:t>Please note that the EU Official Journal contains the official list of entities subject to restrictive measures and, in case of conflict, it prevails over the list of the </w:t>
      </w:r>
      <w:hyperlink r:id="rId1" w:anchor="_blank" w:history="1">
        <w:r>
          <w:rPr>
            <w:rStyle w:val="Hyperlink"/>
            <w:color w:val="0070C0"/>
            <w:sz w:val="18"/>
            <w:szCs w:val="18"/>
          </w:rPr>
          <w:t>EU Sanctions Map</w:t>
        </w:r>
      </w:hyperlink>
      <w:r>
        <w:rPr>
          <w:sz w:val="18"/>
          <w:szCs w:val="18"/>
        </w:rPr>
        <w:t>.</w:t>
      </w:r>
    </w:p>
  </w:footnote>
  <w:footnote w:id="2">
    <w:p w14:paraId="08DC2CA1" w14:textId="77777777" w:rsidR="00C17BB3" w:rsidRPr="00C66BF3" w:rsidRDefault="00C17BB3" w:rsidP="00C17BB3">
      <w:pPr>
        <w:pStyle w:val="FootnoteText"/>
        <w:ind w:left="284" w:hanging="284"/>
        <w:jc w:val="both"/>
      </w:pPr>
      <w:r>
        <w:rPr>
          <w:rStyle w:val="FootnoteReference"/>
        </w:rPr>
        <w:footnoteRef/>
      </w:r>
      <w:r>
        <w:tab/>
      </w:r>
      <w:r w:rsidRPr="00C66BF3">
        <w:t>It is recommended to use registered mail in case the postmark would not be readable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0869E" w14:textId="77777777" w:rsidR="007230D3" w:rsidRDefault="007230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19B4D" w14:textId="77777777" w:rsidR="007230D3" w:rsidRDefault="007230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1C0C0" w14:textId="77777777" w:rsidR="007230D3" w:rsidRDefault="007230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2" w15:restartNumberingAfterBreak="0">
    <w:nsid w:val="195B7189"/>
    <w:multiLevelType w:val="multilevel"/>
    <w:tmpl w:val="CF2A1A20"/>
    <w:lvl w:ilvl="0">
      <w:start w:val="1"/>
      <w:numFmt w:val="bullet"/>
      <w:lvlText w:val=""/>
      <w:lvlJc w:val="left"/>
      <w:pPr>
        <w:tabs>
          <w:tab w:val="num" w:pos="0"/>
        </w:tabs>
        <w:ind w:left="2214" w:hanging="360"/>
      </w:pPr>
      <w:rPr>
        <w:rFonts w:ascii="Symbol" w:hAnsi="Symbol" w:cs="Symbol" w:hint="default"/>
      </w:rPr>
    </w:lvl>
    <w:lvl w:ilvl="1">
      <w:start w:val="1"/>
      <w:numFmt w:val="bullet"/>
      <w:lvlText w:val="o"/>
      <w:lvlJc w:val="left"/>
      <w:pPr>
        <w:tabs>
          <w:tab w:val="num" w:pos="0"/>
        </w:tabs>
        <w:ind w:left="2934" w:hanging="360"/>
      </w:pPr>
      <w:rPr>
        <w:rFonts w:ascii="Courier New" w:hAnsi="Courier New" w:cs="Courier New" w:hint="default"/>
      </w:rPr>
    </w:lvl>
    <w:lvl w:ilvl="2">
      <w:start w:val="1"/>
      <w:numFmt w:val="bullet"/>
      <w:lvlText w:val=""/>
      <w:lvlJc w:val="left"/>
      <w:pPr>
        <w:tabs>
          <w:tab w:val="num" w:pos="0"/>
        </w:tabs>
        <w:ind w:left="3654" w:hanging="360"/>
      </w:pPr>
      <w:rPr>
        <w:rFonts w:ascii="Wingdings" w:hAnsi="Wingdings" w:cs="Wingdings" w:hint="default"/>
      </w:rPr>
    </w:lvl>
    <w:lvl w:ilvl="3">
      <w:start w:val="1"/>
      <w:numFmt w:val="bullet"/>
      <w:lvlText w:val=""/>
      <w:lvlJc w:val="left"/>
      <w:pPr>
        <w:tabs>
          <w:tab w:val="num" w:pos="0"/>
        </w:tabs>
        <w:ind w:left="4374" w:hanging="360"/>
      </w:pPr>
      <w:rPr>
        <w:rFonts w:ascii="Symbol" w:hAnsi="Symbol" w:cs="Symbol" w:hint="default"/>
      </w:rPr>
    </w:lvl>
    <w:lvl w:ilvl="4">
      <w:start w:val="1"/>
      <w:numFmt w:val="bullet"/>
      <w:lvlText w:val="o"/>
      <w:lvlJc w:val="left"/>
      <w:pPr>
        <w:tabs>
          <w:tab w:val="num" w:pos="0"/>
        </w:tabs>
        <w:ind w:left="5094" w:hanging="360"/>
      </w:pPr>
      <w:rPr>
        <w:rFonts w:ascii="Courier New" w:hAnsi="Courier New" w:cs="Courier New" w:hint="default"/>
      </w:rPr>
    </w:lvl>
    <w:lvl w:ilvl="5">
      <w:start w:val="1"/>
      <w:numFmt w:val="bullet"/>
      <w:lvlText w:val=""/>
      <w:lvlJc w:val="left"/>
      <w:pPr>
        <w:tabs>
          <w:tab w:val="num" w:pos="0"/>
        </w:tabs>
        <w:ind w:left="5814" w:hanging="360"/>
      </w:pPr>
      <w:rPr>
        <w:rFonts w:ascii="Wingdings" w:hAnsi="Wingdings" w:cs="Wingdings" w:hint="default"/>
      </w:rPr>
    </w:lvl>
    <w:lvl w:ilvl="6">
      <w:start w:val="1"/>
      <w:numFmt w:val="bullet"/>
      <w:lvlText w:val=""/>
      <w:lvlJc w:val="left"/>
      <w:pPr>
        <w:tabs>
          <w:tab w:val="num" w:pos="0"/>
        </w:tabs>
        <w:ind w:left="6534" w:hanging="360"/>
      </w:pPr>
      <w:rPr>
        <w:rFonts w:ascii="Symbol" w:hAnsi="Symbol" w:cs="Symbol" w:hint="default"/>
      </w:rPr>
    </w:lvl>
    <w:lvl w:ilvl="7">
      <w:start w:val="1"/>
      <w:numFmt w:val="bullet"/>
      <w:lvlText w:val="o"/>
      <w:lvlJc w:val="left"/>
      <w:pPr>
        <w:tabs>
          <w:tab w:val="num" w:pos="0"/>
        </w:tabs>
        <w:ind w:left="7254" w:hanging="360"/>
      </w:pPr>
      <w:rPr>
        <w:rFonts w:ascii="Courier New" w:hAnsi="Courier New" w:cs="Courier New" w:hint="default"/>
      </w:rPr>
    </w:lvl>
    <w:lvl w:ilvl="8">
      <w:start w:val="1"/>
      <w:numFmt w:val="bullet"/>
      <w:lvlText w:val=""/>
      <w:lvlJc w:val="left"/>
      <w:pPr>
        <w:tabs>
          <w:tab w:val="num" w:pos="0"/>
        </w:tabs>
        <w:ind w:left="7974" w:hanging="360"/>
      </w:pPr>
      <w:rPr>
        <w:rFonts w:ascii="Wingdings" w:hAnsi="Wingdings" w:cs="Wingdings" w:hint="default"/>
      </w:rPr>
    </w:lvl>
  </w:abstractNum>
  <w:abstractNum w:abstractNumId="3" w15:restartNumberingAfterBreak="0">
    <w:nsid w:val="1BA25931"/>
    <w:multiLevelType w:val="multilevel"/>
    <w:tmpl w:val="FA042C12"/>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4" w15:restartNumberingAfterBreak="0">
    <w:nsid w:val="26000C58"/>
    <w:multiLevelType w:val="multilevel"/>
    <w:tmpl w:val="6D7CA094"/>
    <w:lvl w:ilvl="0">
      <w:start w:val="1"/>
      <w:numFmt w:val="bullet"/>
      <w:lvlText w:val=""/>
      <w:lvlJc w:val="left"/>
      <w:pPr>
        <w:tabs>
          <w:tab w:val="num" w:pos="0"/>
        </w:tabs>
        <w:ind w:left="2214" w:hanging="360"/>
      </w:pPr>
      <w:rPr>
        <w:rFonts w:ascii="Symbol" w:hAnsi="Symbol" w:cs="Symbol" w:hint="default"/>
      </w:rPr>
    </w:lvl>
    <w:lvl w:ilvl="1">
      <w:start w:val="1"/>
      <w:numFmt w:val="bullet"/>
      <w:lvlText w:val="o"/>
      <w:lvlJc w:val="left"/>
      <w:pPr>
        <w:tabs>
          <w:tab w:val="num" w:pos="0"/>
        </w:tabs>
        <w:ind w:left="2934" w:hanging="360"/>
      </w:pPr>
      <w:rPr>
        <w:rFonts w:ascii="Courier New" w:hAnsi="Courier New" w:cs="Courier New" w:hint="default"/>
      </w:rPr>
    </w:lvl>
    <w:lvl w:ilvl="2">
      <w:start w:val="1"/>
      <w:numFmt w:val="bullet"/>
      <w:lvlText w:val=""/>
      <w:lvlJc w:val="left"/>
      <w:pPr>
        <w:tabs>
          <w:tab w:val="num" w:pos="0"/>
        </w:tabs>
        <w:ind w:left="3654" w:hanging="360"/>
      </w:pPr>
      <w:rPr>
        <w:rFonts w:ascii="Wingdings" w:hAnsi="Wingdings" w:cs="Wingdings" w:hint="default"/>
      </w:rPr>
    </w:lvl>
    <w:lvl w:ilvl="3">
      <w:start w:val="1"/>
      <w:numFmt w:val="bullet"/>
      <w:lvlText w:val=""/>
      <w:lvlJc w:val="left"/>
      <w:pPr>
        <w:tabs>
          <w:tab w:val="num" w:pos="0"/>
        </w:tabs>
        <w:ind w:left="4374" w:hanging="360"/>
      </w:pPr>
      <w:rPr>
        <w:rFonts w:ascii="Symbol" w:hAnsi="Symbol" w:cs="Symbol" w:hint="default"/>
      </w:rPr>
    </w:lvl>
    <w:lvl w:ilvl="4">
      <w:start w:val="1"/>
      <w:numFmt w:val="bullet"/>
      <w:lvlText w:val="o"/>
      <w:lvlJc w:val="left"/>
      <w:pPr>
        <w:tabs>
          <w:tab w:val="num" w:pos="0"/>
        </w:tabs>
        <w:ind w:left="5094" w:hanging="360"/>
      </w:pPr>
      <w:rPr>
        <w:rFonts w:ascii="Courier New" w:hAnsi="Courier New" w:cs="Courier New" w:hint="default"/>
      </w:rPr>
    </w:lvl>
    <w:lvl w:ilvl="5">
      <w:start w:val="1"/>
      <w:numFmt w:val="bullet"/>
      <w:lvlText w:val=""/>
      <w:lvlJc w:val="left"/>
      <w:pPr>
        <w:tabs>
          <w:tab w:val="num" w:pos="0"/>
        </w:tabs>
        <w:ind w:left="5814" w:hanging="360"/>
      </w:pPr>
      <w:rPr>
        <w:rFonts w:ascii="Wingdings" w:hAnsi="Wingdings" w:cs="Wingdings" w:hint="default"/>
      </w:rPr>
    </w:lvl>
    <w:lvl w:ilvl="6">
      <w:start w:val="1"/>
      <w:numFmt w:val="bullet"/>
      <w:lvlText w:val=""/>
      <w:lvlJc w:val="left"/>
      <w:pPr>
        <w:tabs>
          <w:tab w:val="num" w:pos="0"/>
        </w:tabs>
        <w:ind w:left="6534" w:hanging="360"/>
      </w:pPr>
      <w:rPr>
        <w:rFonts w:ascii="Symbol" w:hAnsi="Symbol" w:cs="Symbol" w:hint="default"/>
      </w:rPr>
    </w:lvl>
    <w:lvl w:ilvl="7">
      <w:start w:val="1"/>
      <w:numFmt w:val="bullet"/>
      <w:lvlText w:val="o"/>
      <w:lvlJc w:val="left"/>
      <w:pPr>
        <w:tabs>
          <w:tab w:val="num" w:pos="0"/>
        </w:tabs>
        <w:ind w:left="7254" w:hanging="360"/>
      </w:pPr>
      <w:rPr>
        <w:rFonts w:ascii="Courier New" w:hAnsi="Courier New" w:cs="Courier New" w:hint="default"/>
      </w:rPr>
    </w:lvl>
    <w:lvl w:ilvl="8">
      <w:start w:val="1"/>
      <w:numFmt w:val="bullet"/>
      <w:lvlText w:val=""/>
      <w:lvlJc w:val="left"/>
      <w:pPr>
        <w:tabs>
          <w:tab w:val="num" w:pos="0"/>
        </w:tabs>
        <w:ind w:left="7974" w:hanging="360"/>
      </w:pPr>
      <w:rPr>
        <w:rFonts w:ascii="Wingdings" w:hAnsi="Wingdings" w:cs="Wingdings" w:hint="default"/>
      </w:rPr>
    </w:lvl>
  </w:abstractNum>
  <w:abstractNum w:abstractNumId="5"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6"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7"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9"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10" w15:restartNumberingAfterBreak="0">
    <w:nsid w:val="47E737E7"/>
    <w:multiLevelType w:val="multilevel"/>
    <w:tmpl w:val="26108FD0"/>
    <w:lvl w:ilvl="0">
      <w:start w:val="1"/>
      <w:numFmt w:val="decimal"/>
      <w:pStyle w:val="PRAGHeading2"/>
      <w:lvlText w:val="%1."/>
      <w:lvlJc w:val="left"/>
      <w:pPr>
        <w:tabs>
          <w:tab w:val="num" w:pos="180"/>
        </w:tabs>
        <w:ind w:left="180" w:firstLine="0"/>
      </w:pPr>
      <w:rPr>
        <w:rFonts w:ascii="Times New Roman" w:hAnsi="Times New Roman"/>
        <w:b/>
        <w:i w:val="0"/>
        <w:color w:val="000000" w:themeColor="text1"/>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68026F67"/>
    <w:multiLevelType w:val="multilevel"/>
    <w:tmpl w:val="13F60206"/>
    <w:lvl w:ilvl="0">
      <w:start w:val="11"/>
      <w:numFmt w:val="bullet"/>
      <w:lvlText w:val="-"/>
      <w:lvlJc w:val="left"/>
      <w:pPr>
        <w:tabs>
          <w:tab w:val="num" w:pos="0"/>
        </w:tabs>
        <w:ind w:left="1069" w:hanging="360"/>
      </w:pPr>
      <w:rPr>
        <w:rFonts w:ascii="Times New Roman" w:hAnsi="Times New Roman" w:cs="Times New Roman"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13" w15:restartNumberingAfterBreak="0">
    <w:nsid w:val="688A4C86"/>
    <w:multiLevelType w:val="multilevel"/>
    <w:tmpl w:val="CB70FEE4"/>
    <w:lvl w:ilvl="0">
      <w:start w:val="1"/>
      <w:numFmt w:val="decimal"/>
      <w:pStyle w:val="Numbered"/>
      <w:lvlText w:val="%1."/>
      <w:lvlJc w:val="left"/>
      <w:pPr>
        <w:tabs>
          <w:tab w:val="num" w:pos="0"/>
        </w:tabs>
        <w:ind w:left="720" w:hanging="360"/>
      </w:pPr>
      <w:rPr>
        <w:b w:val="0"/>
        <w:i w:val="0"/>
        <w:caps w:val="0"/>
        <w:smallCaps w:val="0"/>
        <w:strike w:val="0"/>
        <w:dstrike w:val="0"/>
        <w:vanish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8AB46B1"/>
    <w:multiLevelType w:val="multilevel"/>
    <w:tmpl w:val="577C969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7C077B76"/>
    <w:multiLevelType w:val="multilevel"/>
    <w:tmpl w:val="4C246E66"/>
    <w:lvl w:ilvl="0">
      <w:start w:val="1"/>
      <w:numFmt w:val="bullet"/>
      <w:lvlText w:val=""/>
      <w:lvlJc w:val="left"/>
      <w:pPr>
        <w:tabs>
          <w:tab w:val="num" w:pos="0"/>
        </w:tabs>
        <w:ind w:left="2421"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num w:numId="1" w16cid:durableId="1888101752">
    <w:abstractNumId w:val="10"/>
  </w:num>
  <w:num w:numId="2" w16cid:durableId="601913062">
    <w:abstractNumId w:val="12"/>
  </w:num>
  <w:num w:numId="3" w16cid:durableId="1467234892">
    <w:abstractNumId w:val="13"/>
  </w:num>
  <w:num w:numId="4" w16cid:durableId="1942375720">
    <w:abstractNumId w:val="4"/>
  </w:num>
  <w:num w:numId="5" w16cid:durableId="1063455922">
    <w:abstractNumId w:val="3"/>
  </w:num>
  <w:num w:numId="6" w16cid:durableId="1968390338">
    <w:abstractNumId w:val="14"/>
  </w:num>
  <w:num w:numId="7" w16cid:durableId="1465805402">
    <w:abstractNumId w:val="0"/>
    <w:lvlOverride w:ilvl="0">
      <w:lvl w:ilvl="0">
        <w:numFmt w:val="bullet"/>
        <w:lvlText w:val=""/>
        <w:legacy w:legacy="1" w:legacySpace="0" w:legacyIndent="360"/>
        <w:lvlJc w:val="left"/>
        <w:pPr>
          <w:ind w:left="720" w:hanging="360"/>
        </w:pPr>
        <w:rPr>
          <w:rFonts w:ascii="Symbol" w:hAnsi="Symbol" w:hint="default"/>
        </w:rPr>
      </w:lvl>
    </w:lvlOverride>
  </w:num>
  <w:num w:numId="8" w16cid:durableId="1205411925">
    <w:abstractNumId w:val="9"/>
  </w:num>
  <w:num w:numId="9" w16cid:durableId="2145155736">
    <w:abstractNumId w:val="1"/>
  </w:num>
  <w:num w:numId="10" w16cid:durableId="633026238">
    <w:abstractNumId w:val="5"/>
  </w:num>
  <w:num w:numId="11" w16cid:durableId="380324368">
    <w:abstractNumId w:val="8"/>
  </w:num>
  <w:num w:numId="12" w16cid:durableId="1726678706">
    <w:abstractNumId w:val="6"/>
  </w:num>
  <w:num w:numId="13" w16cid:durableId="2102481317">
    <w:abstractNumId w:val="7"/>
  </w:num>
  <w:num w:numId="14" w16cid:durableId="476843311">
    <w:abstractNumId w:val="11"/>
  </w:num>
  <w:num w:numId="15" w16cid:durableId="341906259">
    <w:abstractNumId w:val="10"/>
    <w:lvlOverride w:ilvl="0">
      <w:startOverride w:val="22"/>
    </w:lvlOverride>
  </w:num>
  <w:num w:numId="16" w16cid:durableId="1162965796">
    <w:abstractNumId w:val="2"/>
  </w:num>
  <w:num w:numId="17" w16cid:durableId="1220551084">
    <w:abstractNumId w:val="15"/>
  </w:num>
  <w:num w:numId="18" w16cid:durableId="1982419993">
    <w:abstractNumId w:val="10"/>
    <w:lvlOverride w:ilvl="0">
      <w:startOverride w:val="1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962"/>
    <w:rsid w:val="00011A8E"/>
    <w:rsid w:val="00040633"/>
    <w:rsid w:val="00073E64"/>
    <w:rsid w:val="00092F80"/>
    <w:rsid w:val="000C432E"/>
    <w:rsid w:val="000E7897"/>
    <w:rsid w:val="00190DDA"/>
    <w:rsid w:val="00213D17"/>
    <w:rsid w:val="00232904"/>
    <w:rsid w:val="00280D5A"/>
    <w:rsid w:val="002905C8"/>
    <w:rsid w:val="003324B1"/>
    <w:rsid w:val="00424962"/>
    <w:rsid w:val="00425B07"/>
    <w:rsid w:val="00445D62"/>
    <w:rsid w:val="00470DD6"/>
    <w:rsid w:val="00472494"/>
    <w:rsid w:val="00531A26"/>
    <w:rsid w:val="005D0725"/>
    <w:rsid w:val="006201AD"/>
    <w:rsid w:val="00660A15"/>
    <w:rsid w:val="006E6F56"/>
    <w:rsid w:val="00702A63"/>
    <w:rsid w:val="007230D3"/>
    <w:rsid w:val="00757D1A"/>
    <w:rsid w:val="008561CF"/>
    <w:rsid w:val="00884B24"/>
    <w:rsid w:val="0091674A"/>
    <w:rsid w:val="009A45C8"/>
    <w:rsid w:val="009B55D6"/>
    <w:rsid w:val="00A56411"/>
    <w:rsid w:val="00AC20A9"/>
    <w:rsid w:val="00AF71E0"/>
    <w:rsid w:val="00B13486"/>
    <w:rsid w:val="00B246B4"/>
    <w:rsid w:val="00B403AD"/>
    <w:rsid w:val="00BB01EF"/>
    <w:rsid w:val="00BC6FC4"/>
    <w:rsid w:val="00C17BB3"/>
    <w:rsid w:val="00D478B4"/>
    <w:rsid w:val="00DD275F"/>
    <w:rsid w:val="00DD469E"/>
    <w:rsid w:val="00DD4E5C"/>
    <w:rsid w:val="00E44B24"/>
    <w:rsid w:val="00E455C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32409"/>
  <w15:docId w15:val="{113619CC-FA8A-4F1C-9C40-A7A1B171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pPr>
    <w:rPr>
      <w:rFonts w:ascii="Times New Roman" w:eastAsia="Times New Roman" w:hAnsi="Times New Roman" w:cs="Times New Roman"/>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01BA7"/>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character" w:styleId="Hyperlink">
    <w:name w:val="Hyperlink"/>
    <w:rsid w:val="00CA6501"/>
    <w:rPr>
      <w:color w:val="0000FF"/>
      <w:u w:val="single"/>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qFormat/>
    <w:rsid w:val="000A4362"/>
    <w:rPr>
      <w:rFonts w:ascii="Times New Roman" w:eastAsia="Times New Roman" w:hAnsi="Times New Roman" w:cs="Times New Roman"/>
      <w:sz w:val="20"/>
      <w:szCs w:val="20"/>
      <w:lang w:val="en-US"/>
    </w:rPr>
  </w:style>
  <w:style w:type="character" w:customStyle="1" w:styleId="FootnoteCharacters">
    <w:name w:val="Footnote Characters"/>
    <w:qFormat/>
    <w:rsid w:val="000A4362"/>
    <w:rPr>
      <w:vertAlign w:val="superscript"/>
    </w:rPr>
  </w:style>
  <w:style w:type="character" w:customStyle="1" w:styleId="FootnoteAnchor">
    <w:name w:val="Footnote Anchor"/>
    <w:rPr>
      <w:vertAlign w:val="superscript"/>
    </w:rPr>
  </w:style>
  <w:style w:type="character" w:customStyle="1" w:styleId="HeaderChar">
    <w:name w:val="Header Char"/>
    <w:basedOn w:val="DefaultParagraphFont"/>
    <w:link w:val="Header"/>
    <w:uiPriority w:val="99"/>
    <w:qFormat/>
    <w:rsid w:val="00B2271A"/>
    <w:rPr>
      <w:rFonts w:ascii="Times New Roman" w:eastAsia="Times New Roman" w:hAnsi="Times New Roman" w:cs="Times New Roman"/>
      <w:sz w:val="24"/>
      <w:szCs w:val="20"/>
      <w:lang w:val="en-US"/>
    </w:rPr>
  </w:style>
  <w:style w:type="character" w:customStyle="1" w:styleId="FooterChar">
    <w:name w:val="Footer Char"/>
    <w:basedOn w:val="DefaultParagraphFont"/>
    <w:link w:val="Footer"/>
    <w:uiPriority w:val="99"/>
    <w:qFormat/>
    <w:rsid w:val="00B2271A"/>
    <w:rPr>
      <w:rFonts w:ascii="Times New Roman" w:eastAsia="Times New Roman" w:hAnsi="Times New Roman" w:cs="Times New Roman"/>
      <w:sz w:val="24"/>
      <w:szCs w:val="20"/>
      <w:lang w:val="en-US"/>
    </w:rPr>
  </w:style>
  <w:style w:type="character" w:customStyle="1" w:styleId="BalloonTextChar">
    <w:name w:val="Balloon Text Char"/>
    <w:basedOn w:val="DefaultParagraphFont"/>
    <w:link w:val="BalloonText"/>
    <w:uiPriority w:val="99"/>
    <w:semiHidden/>
    <w:qFormat/>
    <w:rsid w:val="009A3842"/>
    <w:rPr>
      <w:rFonts w:ascii="Tahoma" w:eastAsia="Times New Roman" w:hAnsi="Tahoma" w:cs="Tahoma"/>
      <w:sz w:val="16"/>
      <w:szCs w:val="16"/>
      <w:lang w:val="en-US"/>
    </w:rPr>
  </w:style>
  <w:style w:type="character" w:styleId="CommentReference">
    <w:name w:val="annotation reference"/>
    <w:basedOn w:val="DefaultParagraphFont"/>
    <w:uiPriority w:val="99"/>
    <w:unhideWhenUsed/>
    <w:qFormat/>
    <w:rsid w:val="00CC5DD2"/>
    <w:rPr>
      <w:sz w:val="16"/>
      <w:szCs w:val="16"/>
    </w:rPr>
  </w:style>
  <w:style w:type="character" w:customStyle="1" w:styleId="CommentTextChar">
    <w:name w:val="Comment Text Char"/>
    <w:basedOn w:val="DefaultParagraphFont"/>
    <w:link w:val="CommentText"/>
    <w:qFormat/>
    <w:rsid w:val="00CC5DD2"/>
    <w:rPr>
      <w:rFonts w:ascii="Times New Roman" w:eastAsia="Times New Roman" w:hAnsi="Times New Roman" w:cs="Times New Roman"/>
      <w:sz w:val="20"/>
      <w:szCs w:val="20"/>
      <w:lang w:val="en-US"/>
    </w:rPr>
  </w:style>
  <w:style w:type="character" w:customStyle="1" w:styleId="CommentSubjectChar">
    <w:name w:val="Comment Subject Char"/>
    <w:basedOn w:val="CommentTextChar"/>
    <w:link w:val="CommentSubject"/>
    <w:uiPriority w:val="99"/>
    <w:semiHidden/>
    <w:qFormat/>
    <w:rsid w:val="00CC5DD2"/>
    <w:rPr>
      <w:rFonts w:ascii="Times New Roman" w:eastAsia="Times New Roman" w:hAnsi="Times New Roman" w:cs="Times New Roman"/>
      <w:b/>
      <w:bCs/>
      <w:sz w:val="20"/>
      <w:szCs w:val="20"/>
      <w:lang w:val="en-US"/>
    </w:rPr>
  </w:style>
  <w:style w:type="character" w:customStyle="1" w:styleId="Heading4Char">
    <w:name w:val="Heading 4 Char"/>
    <w:basedOn w:val="DefaultParagraphFont"/>
    <w:link w:val="Heading4"/>
    <w:qFormat/>
    <w:rsid w:val="00AA2AC2"/>
    <w:rPr>
      <w:rFonts w:ascii="Times New Roman" w:eastAsia="Times New Roman" w:hAnsi="Times New Roman" w:cs="Times New Roman"/>
    </w:rPr>
  </w:style>
  <w:style w:type="character" w:customStyle="1" w:styleId="Definition">
    <w:name w:val="Definition"/>
    <w:qFormat/>
    <w:rsid w:val="00E8713A"/>
    <w:rPr>
      <w:i/>
    </w:rPr>
  </w:style>
  <w:style w:type="character" w:styleId="FollowedHyperlink">
    <w:name w:val="FollowedHyperlink"/>
    <w:basedOn w:val="DefaultParagraphFont"/>
    <w:uiPriority w:val="99"/>
    <w:semiHidden/>
    <w:unhideWhenUsed/>
    <w:rsid w:val="00757D90"/>
    <w:rPr>
      <w:color w:val="800080" w:themeColor="followedHyperlink"/>
      <w:u w:val="single"/>
    </w:rPr>
  </w:style>
  <w:style w:type="character" w:customStyle="1" w:styleId="SubtitleChar">
    <w:name w:val="Subtitle Char"/>
    <w:basedOn w:val="DefaultParagraphFont"/>
    <w:link w:val="Subtitle"/>
    <w:qFormat/>
    <w:rsid w:val="004759A5"/>
    <w:rPr>
      <w:rFonts w:ascii="Arial" w:eastAsia="Times New Roman" w:hAnsi="Arial" w:cs="Times New Roman"/>
      <w:b/>
      <w:sz w:val="28"/>
      <w:szCs w:val="20"/>
      <w:lang w:val="fr-BE"/>
    </w:rPr>
  </w:style>
  <w:style w:type="character" w:customStyle="1" w:styleId="BodyTextChar">
    <w:name w:val="Body Text Char"/>
    <w:basedOn w:val="DefaultParagraphFont"/>
    <w:link w:val="BodyText"/>
    <w:qFormat/>
    <w:rsid w:val="006A0BB1"/>
    <w:rPr>
      <w:rFonts w:ascii="Times New Roman" w:eastAsia="Times New Roman" w:hAnsi="Times New Roman" w:cs="Times New Roman"/>
      <w:sz w:val="24"/>
      <w:szCs w:val="20"/>
      <w:lang w:eastAsia="en-GB"/>
    </w:rPr>
  </w:style>
  <w:style w:type="character" w:customStyle="1" w:styleId="NumberedChar">
    <w:name w:val="Numbered Char"/>
    <w:link w:val="Numbered"/>
    <w:qFormat/>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qFormat/>
    <w:rsid w:val="007E559C"/>
  </w:style>
  <w:style w:type="character" w:customStyle="1" w:styleId="eop">
    <w:name w:val="eop"/>
    <w:basedOn w:val="DefaultParagraphFont"/>
    <w:qFormat/>
    <w:rsid w:val="00BA29BB"/>
  </w:style>
  <w:style w:type="character" w:customStyle="1" w:styleId="highlight">
    <w:name w:val="highlight"/>
    <w:basedOn w:val="DefaultParagraphFont"/>
    <w:qFormat/>
    <w:rsid w:val="00FE3A8C"/>
    <w:rPr>
      <w:rFonts w:cs="Times New Roman"/>
    </w:rPr>
  </w:style>
  <w:style w:type="character" w:customStyle="1" w:styleId="EndnoteTextChar">
    <w:name w:val="Endnote Text Char"/>
    <w:basedOn w:val="DefaultParagraphFont"/>
    <w:link w:val="EndnoteText"/>
    <w:uiPriority w:val="99"/>
    <w:semiHidden/>
    <w:qFormat/>
    <w:rsid w:val="00D831C6"/>
    <w:rPr>
      <w:rFonts w:ascii="Times New Roman" w:eastAsia="Times New Roman" w:hAnsi="Times New Roman" w:cs="Times New Roman"/>
      <w:sz w:val="20"/>
      <w:szCs w:val="20"/>
      <w:lang w:val="en-US"/>
    </w:rPr>
  </w:style>
  <w:style w:type="character" w:customStyle="1" w:styleId="EndnoteCharacters">
    <w:name w:val="Endnote Characters"/>
    <w:basedOn w:val="DefaultParagraphFont"/>
    <w:uiPriority w:val="99"/>
    <w:semiHidden/>
    <w:unhideWhenUsed/>
    <w:qFormat/>
    <w:rsid w:val="00D831C6"/>
    <w:rPr>
      <w:vertAlign w:val="superscript"/>
    </w:rPr>
  </w:style>
  <w:style w:type="character" w:customStyle="1" w:styleId="EndnoteAnchor">
    <w:name w:val="Endnote Anchor"/>
    <w:rPr>
      <w:vertAlign w:val="superscript"/>
    </w:rPr>
  </w:style>
  <w:style w:type="character" w:styleId="UnresolvedMention">
    <w:name w:val="Unresolved Mention"/>
    <w:basedOn w:val="DefaultParagraphFont"/>
    <w:uiPriority w:val="99"/>
    <w:semiHidden/>
    <w:unhideWhenUsed/>
    <w:qFormat/>
    <w:rsid w:val="00B3579A"/>
    <w:rPr>
      <w:color w:val="605E5C"/>
      <w:shd w:val="clear" w:color="auto" w:fill="E1DFDD"/>
    </w:rPr>
  </w:style>
  <w:style w:type="character" w:customStyle="1" w:styleId="cf01">
    <w:name w:val="cf01"/>
    <w:basedOn w:val="DefaultParagraphFont"/>
    <w:qFormat/>
    <w:rsid w:val="005772F4"/>
    <w:rPr>
      <w:rFonts w:ascii="Segoe UI" w:hAnsi="Segoe UI" w:cs="Segoe UI"/>
      <w:sz w:val="18"/>
      <w:szCs w:val="18"/>
    </w:rPr>
  </w:style>
  <w:style w:type="character" w:customStyle="1" w:styleId="Heading2Char">
    <w:name w:val="Heading 2 Char"/>
    <w:basedOn w:val="DefaultParagraphFont"/>
    <w:link w:val="Heading2"/>
    <w:uiPriority w:val="9"/>
    <w:semiHidden/>
    <w:qFormat/>
    <w:rsid w:val="00DF455D"/>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semiHidden/>
    <w:qFormat/>
    <w:rsid w:val="00301BA7"/>
    <w:rPr>
      <w:rFonts w:asciiTheme="majorHAnsi" w:eastAsiaTheme="majorEastAsia" w:hAnsiTheme="majorHAnsi" w:cstheme="majorBidi"/>
      <w:color w:val="243F60" w:themeColor="accent1" w:themeShade="7F"/>
      <w:sz w:val="24"/>
      <w:szCs w:val="24"/>
      <w:lang w:val="en-U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6A0BB1"/>
    <w:pPr>
      <w:widowControl/>
      <w:spacing w:before="0" w:after="0"/>
    </w:pPr>
    <w:rPr>
      <w:lang w:val="en-GB" w:eastAsia="en-GB"/>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Cs w:val="24"/>
    </w:rPr>
  </w:style>
  <w:style w:type="paragraph" w:customStyle="1" w:styleId="Index">
    <w:name w:val="Index"/>
    <w:basedOn w:val="Normal"/>
    <w:qFormat/>
    <w:pPr>
      <w:suppressLineNumbers/>
    </w:pPr>
    <w:rPr>
      <w:rFonts w:cs="Arial"/>
    </w:rPr>
  </w:style>
  <w:style w:type="paragraph" w:customStyle="1" w:styleId="Blockquote">
    <w:name w:val="Blockquote"/>
    <w:basedOn w:val="Normal"/>
    <w:qFormat/>
    <w:rsid w:val="00EA6C7C"/>
    <w:pPr>
      <w:ind w:left="360" w:right="360"/>
    </w:pPr>
  </w:style>
  <w:style w:type="paragraph" w:styleId="ListParagraph">
    <w:name w:val="List Paragraph"/>
    <w:basedOn w:val="Normal"/>
    <w:uiPriority w:val="34"/>
    <w:qFormat/>
    <w:rsid w:val="00EA6C7C"/>
    <w:pPr>
      <w:ind w:left="720"/>
      <w:contextualSpacing/>
    </w:p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paragraph" w:customStyle="1" w:styleId="PRAGHeading2">
    <w:name w:val="PRAG Heading 2"/>
    <w:basedOn w:val="Normal"/>
    <w:qFormat/>
    <w:rsid w:val="00AA22A5"/>
    <w:pPr>
      <w:numPr>
        <w:numId w:val="1"/>
      </w:numPr>
      <w:tabs>
        <w:tab w:val="clear" w:pos="180"/>
        <w:tab w:val="num" w:pos="567"/>
      </w:tabs>
      <w:ind w:left="567"/>
    </w:pPr>
    <w:rPr>
      <w:lang w:val="fr-FR"/>
    </w:rPr>
  </w:style>
  <w:style w:type="paragraph" w:customStyle="1" w:styleId="Default">
    <w:name w:val="Default"/>
    <w:qFormat/>
    <w:rsid w:val="00AA22A5"/>
    <w:rPr>
      <w:rFonts w:ascii="Minion Pro" w:eastAsia="Times New Roman" w:hAnsi="Minion Pro" w:cs="Minion Pro"/>
      <w:color w:val="000000"/>
      <w:sz w:val="24"/>
      <w:szCs w:val="24"/>
      <w:lang w:eastAsia="en-GB"/>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2271A"/>
    <w:pPr>
      <w:tabs>
        <w:tab w:val="center" w:pos="4536"/>
        <w:tab w:val="right" w:pos="9072"/>
      </w:tabs>
      <w:spacing w:before="0" w:after="0"/>
    </w:pPr>
  </w:style>
  <w:style w:type="paragraph" w:styleId="Footer">
    <w:name w:val="footer"/>
    <w:basedOn w:val="Normal"/>
    <w:link w:val="FooterChar"/>
    <w:uiPriority w:val="99"/>
    <w:unhideWhenUsed/>
    <w:rsid w:val="00B2271A"/>
    <w:pPr>
      <w:tabs>
        <w:tab w:val="center" w:pos="4536"/>
        <w:tab w:val="right" w:pos="9072"/>
      </w:tabs>
      <w:spacing w:before="0" w:after="0"/>
    </w:pPr>
  </w:style>
  <w:style w:type="paragraph" w:styleId="BalloonText">
    <w:name w:val="Balloon Text"/>
    <w:basedOn w:val="Normal"/>
    <w:link w:val="BalloonTextChar"/>
    <w:uiPriority w:val="99"/>
    <w:semiHidden/>
    <w:unhideWhenUsed/>
    <w:qFormat/>
    <w:rsid w:val="009A3842"/>
    <w:pPr>
      <w:spacing w:before="0" w:after="0"/>
    </w:pPr>
    <w:rPr>
      <w:rFonts w:ascii="Tahoma" w:hAnsi="Tahoma" w:cs="Tahoma"/>
      <w:sz w:val="16"/>
      <w:szCs w:val="16"/>
    </w:rPr>
  </w:style>
  <w:style w:type="paragraph" w:styleId="CommentText">
    <w:name w:val="annotation text"/>
    <w:basedOn w:val="Normal"/>
    <w:link w:val="CommentTextChar"/>
    <w:unhideWhenUsed/>
    <w:qFormat/>
    <w:rsid w:val="00CC5DD2"/>
    <w:rPr>
      <w:sz w:val="20"/>
    </w:rPr>
  </w:style>
  <w:style w:type="paragraph" w:styleId="CommentSubject">
    <w:name w:val="annotation subject"/>
    <w:basedOn w:val="CommentText"/>
    <w:next w:val="CommentText"/>
    <w:link w:val="CommentSubjectChar"/>
    <w:uiPriority w:val="99"/>
    <w:semiHidden/>
    <w:unhideWhenUsed/>
    <w:qFormat/>
    <w:rsid w:val="00CC5DD2"/>
    <w:rPr>
      <w:b/>
      <w:bCs/>
    </w:rPr>
  </w:style>
  <w:style w:type="paragraph" w:customStyle="1" w:styleId="H6">
    <w:name w:val="H6"/>
    <w:basedOn w:val="Normal"/>
    <w:next w:val="Normal"/>
    <w:qFormat/>
    <w:rsid w:val="000557AC"/>
    <w:pPr>
      <w:keepNext/>
      <w:outlineLvl w:val="6"/>
    </w:pPr>
    <w:rPr>
      <w:b/>
      <w:sz w:val="16"/>
    </w:rPr>
  </w:style>
  <w:style w:type="paragraph" w:customStyle="1" w:styleId="DefinitionTerm">
    <w:name w:val="Definition Term"/>
    <w:basedOn w:val="Normal"/>
    <w:next w:val="Normal"/>
    <w:qFormat/>
    <w:rsid w:val="00337E2A"/>
    <w:pPr>
      <w:spacing w:before="0" w:after="0"/>
    </w:pPr>
  </w:style>
  <w:style w:type="paragraph" w:styleId="Revision">
    <w:name w:val="Revision"/>
    <w:uiPriority w:val="99"/>
    <w:semiHidden/>
    <w:qFormat/>
    <w:rsid w:val="00401FE1"/>
    <w:rPr>
      <w:rFonts w:ascii="Times New Roman" w:eastAsia="Times New Roman" w:hAnsi="Times New Roman" w:cs="Times New Roman"/>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paragraph" w:customStyle="1" w:styleId="Numbered">
    <w:name w:val="Numbered"/>
    <w:basedOn w:val="Normal"/>
    <w:link w:val="NumberedChar"/>
    <w:qFormat/>
    <w:rsid w:val="00CE78B2"/>
    <w:pPr>
      <w:widowControl/>
      <w:numPr>
        <w:numId w:val="3"/>
      </w:numPr>
      <w:spacing w:before="0" w:after="0"/>
      <w:jc w:val="both"/>
    </w:pPr>
    <w:rPr>
      <w:szCs w:val="24"/>
      <w:lang w:val="en-GB" w:eastAsia="en-GB"/>
    </w:rPr>
  </w:style>
  <w:style w:type="paragraph" w:customStyle="1" w:styleId="paragraph">
    <w:name w:val="paragraph"/>
    <w:basedOn w:val="Normal"/>
    <w:qFormat/>
    <w:rsid w:val="00F72244"/>
    <w:pPr>
      <w:widowControl/>
      <w:spacing w:beforeAutospacing="1" w:afterAutospacing="1"/>
    </w:pPr>
    <w:rPr>
      <w:szCs w:val="24"/>
      <w:lang w:val="fr-BE" w:eastAsia="fr-BE"/>
    </w:rPr>
  </w:style>
  <w:style w:type="paragraph" w:styleId="EndnoteText">
    <w:name w:val="endnote text"/>
    <w:basedOn w:val="Normal"/>
    <w:link w:val="EndnoteTextChar"/>
    <w:uiPriority w:val="99"/>
    <w:semiHidden/>
    <w:unhideWhenUsed/>
    <w:rsid w:val="00D831C6"/>
    <w:pPr>
      <w:spacing w:before="0" w:after="0"/>
    </w:pPr>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11A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ipa-bgrs.mrrb.bg/en/term/9" TargetMode="External"/><Relationship Id="rId4" Type="http://schemas.openxmlformats.org/officeDocument/2006/relationships/settings" Target="settings.xml"/><Relationship Id="rId9" Type="http://schemas.openxmlformats.org/officeDocument/2006/relationships/hyperlink" Target="http://www.pirot.r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5</Pages>
  <Words>1489</Words>
  <Characters>8488</Characters>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2024-06-06T14:59:00Z</cp:lastPrinted>
  <dcterms:created xsi:type="dcterms:W3CDTF">2025-12-20T16:19:00Z</dcterms:created>
  <dcterms:modified xsi:type="dcterms:W3CDTF">2026-01-21T09:59:00Z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ActionId">
    <vt:lpwstr>b0fb3603-4aa0-431f-962e-5858b8f3b08a</vt:lpwstr>
  </property>
  <property fmtid="{D5CDD505-2E9C-101B-9397-08002B2CF9AE}" pid="3" name="MSIP_Label_6bd9ddd1-4d20-43f6-abfa-fc3c07406f94_ContentBits">
    <vt:lpwstr>0</vt:lpwstr>
  </property>
  <property fmtid="{D5CDD505-2E9C-101B-9397-08002B2CF9AE}" pid="4" name="MSIP_Label_6bd9ddd1-4d20-43f6-abfa-fc3c07406f94_Enabled">
    <vt:lpwstr>true</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etDate">
    <vt:lpwstr>2023-04-03T12:18:44Z</vt:lpwstr>
  </property>
  <property fmtid="{D5CDD505-2E9C-101B-9397-08002B2CF9AE}" pid="8" name="MSIP_Label_6bd9ddd1-4d20-43f6-abfa-fc3c07406f94_SiteId">
    <vt:lpwstr>b24c8b06-522c-46fe-9080-70926f8dddb1</vt:lpwstr>
  </property>
</Properties>
</file>